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仿宋"/>
          <w:bCs/>
          <w:sz w:val="44"/>
          <w:szCs w:val="44"/>
        </w:rPr>
      </w:pPr>
      <w:bookmarkStart w:id="5" w:name="_GoBack"/>
      <w:bookmarkEnd w:id="5"/>
      <w:r>
        <w:rPr>
          <w:rFonts w:hint="eastAsia" w:ascii="方正小标宋简体" w:hAnsi="仿宋" w:eastAsia="方正小标宋简体" w:cs="仿宋"/>
          <w:snapToGrid w:val="0"/>
          <w:color w:val="000000"/>
          <w:kern w:val="0"/>
          <w:sz w:val="44"/>
          <w:szCs w:val="44"/>
        </w:rPr>
        <w:t>专业技术工作总结</w:t>
      </w:r>
    </w:p>
    <w:p>
      <w:pPr>
        <w:spacing w:line="360" w:lineRule="auto"/>
        <w:rPr>
          <w:rFonts w:eastAsia="仿宋_GB2312"/>
          <w:bCs/>
          <w:sz w:val="30"/>
          <w:szCs w:val="30"/>
        </w:rPr>
      </w:pPr>
      <w:r>
        <w:rPr>
          <w:rFonts w:hint="eastAsia" w:eastAsia="仿宋_GB2312"/>
          <w:bCs/>
          <w:sz w:val="30"/>
          <w:szCs w:val="30"/>
        </w:rPr>
        <w:t>申报人：</w:t>
      </w:r>
      <w:bookmarkStart w:id="0" w:name="RealName"/>
      <w:r>
        <w:rPr>
          <w:rFonts w:hint="eastAsia" w:ascii="宋体" w:hAnsi="宋体"/>
          <w:bCs/>
          <w:sz w:val="24"/>
        </w:rPr>
        <w:t xml:space="preserve">陈国仕                  </w:t>
      </w:r>
      <w:bookmarkEnd w:id="0"/>
      <w:r>
        <w:rPr>
          <w:rFonts w:hint="eastAsia" w:eastAsia="仿宋_GB2312"/>
          <w:bCs/>
          <w:sz w:val="30"/>
          <w:szCs w:val="30"/>
        </w:rPr>
        <w:t xml:space="preserve"> 所在科室：</w:t>
      </w:r>
      <w:bookmarkStart w:id="1" w:name="Department"/>
      <w:r>
        <w:rPr>
          <w:rFonts w:hint="eastAsia" w:ascii="宋体" w:hAnsi="宋体"/>
          <w:bCs/>
          <w:sz w:val="24"/>
        </w:rPr>
        <w:t>药剂科</w:t>
      </w:r>
      <w:bookmarkEnd w:id="1"/>
    </w:p>
    <w:p>
      <w:pPr>
        <w:spacing w:line="360" w:lineRule="auto"/>
        <w:rPr>
          <w:rFonts w:ascii="宋体" w:hAnsi="宋体"/>
          <w:sz w:val="24"/>
        </w:rPr>
      </w:pPr>
      <w:r>
        <w:rPr>
          <w:rFonts w:hint="eastAsia" w:eastAsia="仿宋_GB2312"/>
          <w:bCs/>
          <w:sz w:val="30"/>
          <w:szCs w:val="30"/>
        </w:rPr>
        <w:t>申报职称：</w:t>
      </w:r>
      <w:bookmarkStart w:id="2" w:name="DeclareQualification"/>
      <w:r>
        <w:rPr>
          <w:rFonts w:hint="eastAsia" w:ascii="宋体" w:hAnsi="宋体"/>
          <w:bCs/>
          <w:sz w:val="24"/>
        </w:rPr>
        <w:t xml:space="preserve">副主任药师           </w:t>
      </w:r>
      <w:bookmarkEnd w:id="2"/>
      <w:r>
        <w:rPr>
          <w:rFonts w:hint="eastAsia" w:eastAsia="仿宋_GB2312"/>
          <w:bCs/>
          <w:sz w:val="30"/>
          <w:szCs w:val="30"/>
        </w:rPr>
        <w:t xml:space="preserve"> 申报专业：</w:t>
      </w:r>
      <w:bookmarkStart w:id="3" w:name="DeclareSpeciality"/>
      <w:r>
        <w:rPr>
          <w:rFonts w:hint="eastAsia" w:ascii="宋体" w:hAnsi="宋体"/>
          <w:bCs/>
          <w:sz w:val="24"/>
        </w:rPr>
        <w:t>医院药学</w:t>
      </w:r>
      <w:bookmarkEnd w:id="3"/>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8" w:hRule="atLeast"/>
        </w:trPr>
        <w:tc>
          <w:tcPr>
            <w:tcW w:w="9108" w:type="dxa"/>
            <w:tcBorders>
              <w:top w:val="single" w:color="auto" w:sz="4" w:space="0"/>
              <w:left w:val="single" w:color="auto" w:sz="4" w:space="0"/>
              <w:bottom w:val="single" w:color="auto" w:sz="4" w:space="0"/>
              <w:right w:val="single" w:color="auto" w:sz="4" w:space="0"/>
            </w:tcBorders>
          </w:tcPr>
          <w:p>
            <w:pPr>
              <w:adjustRightInd w:val="0"/>
              <w:spacing w:line="360" w:lineRule="auto"/>
              <w:rPr>
                <w:rFonts w:ascii="宋体" w:hAnsi="宋体"/>
                <w:sz w:val="24"/>
              </w:rPr>
            </w:pPr>
            <w:bookmarkStart w:id="4" w:name="ProAndTechWorkReport__MultiParag"/>
            <w:r>
              <w:t>一、基本情况</w:t>
            </w:r>
            <w:r>
              <w:br w:type="textWrapping"/>
            </w:r>
            <w:r>
              <w:t>本人陈国仕，2001年7月毕业于桂林医学院药学专业，本科学历，学士学位，2001年7月于广东省第一荣军优抚医院工作至今；2007年5月通过考试，取得主管药师资格。2009年7月获聘主管药师，任现职称15年；2014年5月被任命为药剂科副主任，至今已有9年；2020年至今为药剂科负责人，全面负责药剂科工作。</w:t>
            </w:r>
            <w:r>
              <w:br w:type="textWrapping"/>
            </w:r>
            <w:r>
              <w:t>二、政治表现</w:t>
            </w:r>
            <w:r>
              <w:br w:type="textWrapping"/>
            </w:r>
            <w:r>
              <w:t>本人于1999年加入中国共产党，思想积极向上，政治立场坚定，有奉献精神，曾于2015年、2018年和2023年担任三届医务党支部组织委员。工作中一直致力于为荣军和病人服务，爱岗敬业，勤奋努力，具有良好的医德医风和敬业精神；每年积极参与组织“送医送药”活动，下乡为退役军人、优抚对象提供药品保障和合理用药服务。新冠疫情期间勇于担当、敢于付出，以高度的责任感和使命感保证了医院的药品和防疫物资的及时供应和合理使用，以实际行动践行药学人员的初心使命。</w:t>
            </w:r>
            <w:r>
              <w:br w:type="textWrapping"/>
            </w:r>
            <w:r>
              <w:t>三、专业技术工作</w:t>
            </w:r>
            <w:r>
              <w:br w:type="textWrapping"/>
            </w:r>
            <w:r>
              <w:t>自聘任主管药师来，爱岗敬业，在药房、药库、管理等岗位均有历练，工作认真负责，业务能力突出。</w:t>
            </w:r>
            <w:r>
              <w:br w:type="textWrapping"/>
            </w:r>
            <w:r>
              <w:t>1、坚持学习、完善各项药事管理制度和操作规程</w:t>
            </w:r>
            <w:r>
              <w:br w:type="textWrapping"/>
            </w:r>
            <w:r>
              <w:t>坚持终身学习的思想和理念，在岗期间不断学习药学方面的新理论、新知识，以及各项国家法律法规，利用业余时间自费参加了中山大学药学院药学专业研究生课程进修班的学习。并在实际工作当中，灵活运用各种新理论、新知识。严格遵守各项国家法律法规，按照《中华人民共和国药品管理法》、《医疗机构药事管理规定》、《麻醉药品、第一类精神药品管理办法》等，对药事工作进行了全面的改进、优化，完善和细化了药事管理制度和操作流程，严防差错事故发生。</w:t>
            </w:r>
            <w:r>
              <w:br w:type="textWrapping"/>
            </w:r>
            <w:r>
              <w:t>2、加强处方点评、保障用药安全</w:t>
            </w:r>
            <w:r>
              <w:br w:type="textWrapping"/>
            </w:r>
            <w:r>
              <w:t>根据《医院处方点评管理规范》的要求，采用科学的方法，对门诊处方进行准确点评，积极干预不合理处方的开具，保证药品的使用合理；加强药房处方“四查十对”制度，及时登记调剂差错及定期分析差错原因，找出相应的防范措施，减少再次差错的发生；指导药品调剂、审查处方等工作，解决本科较复杂、疑难技术问题，保证患者的用药安全。</w:t>
            </w:r>
            <w:r>
              <w:br w:type="textWrapping"/>
            </w:r>
            <w:r>
              <w:t>3、强化药品及供应管理</w:t>
            </w:r>
            <w:r>
              <w:br w:type="textWrapping"/>
            </w:r>
            <w:r>
              <w:t>定期对药品库存情况和临床用药情况进行分析，并合理拟定药品领取计划，做好药品的验收，准确登记入库，建立药品账目，做到账物相符；与各科室建立起了良好的沟通机制，主动深入科室，征求意见，不断改进药品供应工作，检查科室药品的使用、管理情况，发现问题及时解决。认真执行各项规章制度，检查麻、精神药品、贵重药品和其他药品的使用、管理情况。定期检查药品存放情况，保证其整齐规范，检查药品有效期，防止失效、发霉、变质。</w:t>
            </w:r>
            <w:r>
              <w:br w:type="textWrapping"/>
            </w:r>
            <w:r>
              <w:t>4、打造学习型人员团队</w:t>
            </w:r>
            <w:r>
              <w:br w:type="textWrapping"/>
            </w:r>
            <w:r>
              <w:t>除了我个人坚持学习之外，还注重科室所有人员的专业知识及业务能力建设，致力于打造学习型科室人员团队。亲自带领实习和新上岗的人员，对其进行业务知识培训。定期组织科室人员进行学习交流，相互之间分享近期来的学习成果及工作经验，实现了团队的共同进步，保证了科室人才队伍质量。</w:t>
            </w:r>
            <w:r>
              <w:br w:type="textWrapping"/>
            </w:r>
            <w:r>
              <w:t>四、业绩成果</w:t>
            </w:r>
            <w:r>
              <w:br w:type="textWrapping"/>
            </w:r>
            <w:r>
              <w:t xml:space="preserve">    1、以第一作者在正规专业学术期刊上发表论文四篇：《某医院Ⅰ类切口手术抗菌药物使用调查分析》、《抗高血压药应用分析》、《浅谈医院的药库管理》、《门诊处方不合理用药分析》。</w:t>
            </w:r>
            <w:r>
              <w:br w:type="textWrapping"/>
            </w:r>
            <w:r>
              <w:t xml:space="preserve">    2、以第一作者在期刊或者报刊上发表科普文章三篇：《如何选择和使用胰岛素》、《带状疱疹后神经痛怎么治疗？》、《流感来袭“药”预防“药”治疗》。</w:t>
            </w:r>
            <w:r>
              <w:br w:type="textWrapping"/>
            </w:r>
            <w:r>
              <w:t xml:space="preserve">    3、撰写合理用药分析专题报告一份：《我院门诊冠心病药物处方分析》。</w:t>
            </w:r>
            <w:r>
              <w:br w:type="textWrapping"/>
            </w:r>
            <w:r>
              <w:t>五、奖励情况</w:t>
            </w:r>
            <w:r>
              <w:br w:type="textWrapping"/>
            </w:r>
            <w:r>
              <w:t xml:space="preserve">    1、分别于2010年度和2022年度被评为“优秀个人”2次；</w:t>
            </w:r>
            <w:r>
              <w:br w:type="textWrapping"/>
            </w:r>
            <w:r>
              <w:t xml:space="preserve">    2、分别于2016年度和2023年度被评为医务支部“优秀党员”2次；</w:t>
            </w:r>
            <w:r>
              <w:br w:type="textWrapping"/>
            </w:r>
            <w:r>
              <w:t xml:space="preserve">    3、2020年抗击新冠肺炎疫情防控工作中被评为“先进个人”，在2022年被评为“优秀抗疫工作者”。</w:t>
            </w:r>
            <w:r>
              <w:br w:type="textWrapping"/>
            </w:r>
            <w:r>
              <w:t xml:space="preserve">    4、2023年学习贯彻习近平新时代中国特色社会主义思想主题教育知识竞赛第一名。</w:t>
            </w:r>
            <w:r>
              <w:br w:type="textWrapping"/>
            </w:r>
            <w:r>
              <w:t>六、专业特长及经验体会</w:t>
            </w:r>
            <w:r>
              <w:br w:type="textWrapping"/>
            </w:r>
            <w:r>
              <w:t>本人的专业特长是对抗菌素安全合理的使用和慢病用药管理，现就抗菌素使用经验介绍如下：</w:t>
            </w:r>
            <w:r>
              <w:br w:type="textWrapping"/>
            </w:r>
            <w:r>
              <w:t>（一）正确选择抗菌素</w:t>
            </w:r>
            <w:r>
              <w:br w:type="textWrapping"/>
            </w:r>
            <w:r>
              <w:t>当前，抗菌素的种类越来越多，有利于疾病的治疗，但也增加了抗菌素选择难度，稍有不慎就可能会出现抗菌素不合理应用、滥用等问题。因此抗菌素的选择应该根据患者的具体病情和病原体种类来确定。在选择抗菌素时，需要根据患者的症状和实验室检查结果，确定感染的病原体类型，尽可能选择高敏感性、安全性高、不良反应少的抗菌素，一定不能凭借所谓的临床经验主观的随意用药。</w:t>
            </w:r>
            <w:r>
              <w:br w:type="textWrapping"/>
            </w:r>
            <w:r>
              <w:t>（二）精准把握抗菌素的用药剂量、使用方法和注意事项</w:t>
            </w:r>
            <w:r>
              <w:br w:type="textWrapping"/>
            </w:r>
            <w:r>
              <w:t>首先根据个体的受药需求、受药能力，进行用药剂量的科学控制，不能为了加快疗效，过量的使用抗菌素。其次要根据不同抗菌素的各自药动学特征，合理使用抗菌素，有的药物一天需要多次用药，有的药物一天只需要一次用药，对此都应当要做到科学、安全合理。再者是对于一些较为特殊的患者群体，例如肝功能、肾功能较差，或是儿童、老年体弱的患者，就应当进一步减少抗菌素的剂量，避免机体承受更大的风险。否则不仅不利于患者的病情治疗，甚至可能引发新的不良效果。最后还应当要在溶媒的选择上，根据药物的使用说明书、使用规定，正确的选择溶媒，不能产生物理或化学反应，导致药效降低、药物失效甚至有毒反应。</w:t>
            </w:r>
            <w:r>
              <w:br w:type="textWrapping"/>
            </w:r>
            <w:r>
              <w:t>（三）谨慎使用广谱抗菌素，把握好联合用药指征</w:t>
            </w:r>
            <w:r>
              <w:br w:type="textWrapping"/>
            </w:r>
            <w:r>
              <w:t>在实际的用药中，要根据患者的具体情况，选择针对性更高的窄谱抗菌素。如果需要联用多种抗菌素，则需要把握好联用的药效反应，不能产生无关作用、拮抗作用，更不能引起安全问题。同时注意，抗菌素的给药途径首选口服，其次为肌注，最后才能选择静脉给药。除此之外，应重视收集患者用药后的效果和不良反应信息，为用药的改进和优化提供依据。</w:t>
            </w:r>
            <w:r>
              <w:br w:type="textWrapping"/>
            </w:r>
            <w:r>
              <w:t>七、下一步工作计划</w:t>
            </w:r>
            <w:r>
              <w:br w:type="textWrapping"/>
            </w:r>
            <w:r>
              <w:t>今后我将参加更多的培训和学习，学习新的给药技术和临床药学知识，参加药学相关的会议和研讨会等，以便更好地掌握药学领域的新知识、新技能；深入临床与医生合作；积极开展处方点评、药物咨询服务、药品使用监测等工作，及时发现和纠正药品使用中的问题，促进药品的合理使用。作为科室负责人，我要不断完善药品各个环节的管理制度，建立科学合理的药品管理制度；加强药师培训，提高药师的专业素养和技能水平；推广新的药学技术，提高药学服务的技术含量；加强学科建设和科研工作，加强与其他医院的合作与交流，引进新的药学技术和理念；增强药学人员的归属感和凝聚力，提高科室整体工作水平。</w:t>
            </w:r>
            <w:bookmarkEnd w:id="4"/>
          </w:p>
        </w:tc>
      </w:tr>
    </w:tbl>
    <w:p>
      <w:pPr>
        <w:spacing w:line="400" w:lineRule="exact"/>
        <w:ind w:left="-197" w:leftChars="-95" w:hanging="2"/>
        <w:rPr>
          <w:rFonts w:ascii="仿宋_GB2312" w:eastAsia="仿宋_GB2312"/>
          <w:sz w:val="24"/>
        </w:rPr>
      </w:pPr>
      <w:r>
        <w:rPr>
          <w:rFonts w:hint="eastAsia" w:ascii="仿宋_GB2312" w:eastAsia="仿宋_GB2312"/>
          <w:szCs w:val="21"/>
        </w:rPr>
        <w:t>注明：此表内容由申报人在网上申报系统填写保存，由单位生成打印用于公示。</w:t>
      </w:r>
    </w:p>
    <w:sectPr>
      <w:pgSz w:w="11906" w:h="16838"/>
      <w:pgMar w:top="1440" w:right="1797" w:bottom="56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AES" w:cryptAlgorithmClass="hash" w:cryptAlgorithmType="typeAny" w:cryptAlgorithmSid="14" w:cryptSpinCount="100000" w:hash="3JLvjHJj/VQPH16f85+v8qYNmlMx7x9Ztgm07vv6Enhz4obW1moItlWXmuWi8/AEOXw8kPN+eTaKqfDRiIpSsw==" w:salt="DvVzHFSXh1cCZQ3ZPcP0Ew=="/>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10"/>
    <w:rsid w:val="000935A9"/>
    <w:rsid w:val="000A6FE9"/>
    <w:rsid w:val="00172A27"/>
    <w:rsid w:val="001D312D"/>
    <w:rsid w:val="00242CA0"/>
    <w:rsid w:val="0025519E"/>
    <w:rsid w:val="002A160C"/>
    <w:rsid w:val="003379F5"/>
    <w:rsid w:val="003949F1"/>
    <w:rsid w:val="003C5111"/>
    <w:rsid w:val="005C7A10"/>
    <w:rsid w:val="0060341E"/>
    <w:rsid w:val="00687112"/>
    <w:rsid w:val="00692F96"/>
    <w:rsid w:val="006D01EC"/>
    <w:rsid w:val="00743BE7"/>
    <w:rsid w:val="007A0DFE"/>
    <w:rsid w:val="007B432B"/>
    <w:rsid w:val="007D6A47"/>
    <w:rsid w:val="007E1C7B"/>
    <w:rsid w:val="007E2818"/>
    <w:rsid w:val="007E38F1"/>
    <w:rsid w:val="00835027"/>
    <w:rsid w:val="009312A4"/>
    <w:rsid w:val="009B0494"/>
    <w:rsid w:val="00A30A5D"/>
    <w:rsid w:val="00A314AA"/>
    <w:rsid w:val="00A73DBE"/>
    <w:rsid w:val="00A904F4"/>
    <w:rsid w:val="00B13614"/>
    <w:rsid w:val="00BF41BC"/>
    <w:rsid w:val="00BF5D34"/>
    <w:rsid w:val="00C53752"/>
    <w:rsid w:val="00CA613E"/>
    <w:rsid w:val="00CE6A0B"/>
    <w:rsid w:val="00DF2C2F"/>
    <w:rsid w:val="00E04AE5"/>
    <w:rsid w:val="00E72E11"/>
    <w:rsid w:val="00EB7F18"/>
    <w:rsid w:val="00EC7C81"/>
    <w:rsid w:val="00EF2E37"/>
    <w:rsid w:val="00F010D1"/>
    <w:rsid w:val="00F145A5"/>
    <w:rsid w:val="00F216CB"/>
    <w:rsid w:val="00F5232C"/>
    <w:rsid w:val="00FF3353"/>
    <w:rsid w:val="284E5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0"/>
    <w:rPr>
      <w:rFonts w:ascii="Times New Roman" w:hAnsi="Times New Roman"/>
      <w:kern w:val="2"/>
      <w:sz w:val="18"/>
      <w:szCs w:val="18"/>
    </w:rPr>
  </w:style>
  <w:style w:type="character" w:customStyle="1" w:styleId="7">
    <w:name w:val="页眉 字符"/>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E7F8B-F443-4B95-85A0-77AE4EE3704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Words>
  <Characters>104</Characters>
  <Lines>1</Lines>
  <Paragraphs>1</Paragraphs>
  <TotalTime>76</TotalTime>
  <ScaleCrop>false</ScaleCrop>
  <LinksUpToDate>false</LinksUpToDate>
  <CharactersWithSpaces>121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2017-08-01T09:30:00Z</dcterms:created>
  <dc:creator>人事科</dc:creator>
  <cp:lastModifiedBy>人事科</cp:lastModifiedBy>
  <cp:lastPrinted>2015-08-11T07:49:00Z</cp:lastPrinted>
  <dcterms:modified xsi:type="dcterms:W3CDTF">2024-04-01T02:17:15Z</dcterms:modified>
  <dc:title>专业技术工作实例表</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894055C96EDC439DB6208482147028F1</vt:lpwstr>
  </property>
</Properties>
</file>