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4795E">
      <w:pPr>
        <w:spacing w:beforeLines="0" w:line="576" w:lineRule="exact"/>
        <w:ind w:firstLine="640" w:firstLineChars="200"/>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附件</w:t>
      </w:r>
    </w:p>
    <w:tbl>
      <w:tblPr>
        <w:tblStyle w:val="2"/>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431"/>
        <w:gridCol w:w="6630"/>
        <w:gridCol w:w="750"/>
      </w:tblGrid>
      <w:tr w14:paraId="0C85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93" w:type="dxa"/>
            <w:noWrap w:val="0"/>
            <w:textDirection w:val="tbRlV"/>
            <w:vAlign w:val="center"/>
          </w:tcPr>
          <w:p w14:paraId="78A1442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序号</w:t>
            </w:r>
          </w:p>
        </w:tc>
        <w:tc>
          <w:tcPr>
            <w:tcW w:w="1431" w:type="dxa"/>
            <w:noWrap w:val="0"/>
            <w:vAlign w:val="center"/>
          </w:tcPr>
          <w:p w14:paraId="33C5BC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评审指标         </w:t>
            </w:r>
          </w:p>
        </w:tc>
        <w:tc>
          <w:tcPr>
            <w:tcW w:w="6630" w:type="dxa"/>
            <w:noWrap w:val="0"/>
            <w:vAlign w:val="center"/>
          </w:tcPr>
          <w:p w14:paraId="12DC47E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评分标准</w:t>
            </w:r>
          </w:p>
        </w:tc>
        <w:tc>
          <w:tcPr>
            <w:tcW w:w="750" w:type="dxa"/>
            <w:noWrap w:val="0"/>
            <w:vAlign w:val="center"/>
          </w:tcPr>
          <w:p w14:paraId="6765AD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分值</w:t>
            </w:r>
          </w:p>
          <w:p w14:paraId="1B2104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范围</w:t>
            </w:r>
          </w:p>
        </w:tc>
      </w:tr>
      <w:tr w14:paraId="1600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93" w:type="dxa"/>
            <w:noWrap w:val="0"/>
            <w:textDirection w:val="lrTbV"/>
            <w:vAlign w:val="center"/>
          </w:tcPr>
          <w:p w14:paraId="74D20E0C">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1</w:t>
            </w:r>
          </w:p>
        </w:tc>
        <w:tc>
          <w:tcPr>
            <w:tcW w:w="1431" w:type="dxa"/>
            <w:noWrap w:val="0"/>
            <w:vAlign w:val="center"/>
          </w:tcPr>
          <w:p w14:paraId="24A7F67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报价</w:t>
            </w:r>
          </w:p>
          <w:p w14:paraId="5F032340">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bCs/>
                <w:color w:val="auto"/>
                <w:kern w:val="0"/>
                <w:sz w:val="28"/>
                <w:szCs w:val="28"/>
                <w:highlight w:val="none"/>
                <w:lang w:val="en-US" w:eastAsia="zh-CN"/>
              </w:rPr>
              <w:t>（20分）</w:t>
            </w:r>
          </w:p>
        </w:tc>
        <w:tc>
          <w:tcPr>
            <w:tcW w:w="6630" w:type="dxa"/>
            <w:noWrap w:val="0"/>
            <w:vAlign w:val="center"/>
          </w:tcPr>
          <w:p w14:paraId="6678F21B">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满足磋商文件要求且最后报价最低的供应商的价格为磋商基准价，其价格分为满分,其他供应商的价格分按公式计算: 磋商报价得分=（磋商基准价/最后磋商报价）×</w:t>
            </w:r>
            <w:r>
              <w:rPr>
                <w:rFonts w:hint="default" w:ascii="Times New Roman" w:hAnsi="Times New Roman" w:eastAsia="仿宋_GB2312" w:cs="Times New Roman"/>
                <w:color w:val="auto"/>
                <w:kern w:val="0"/>
                <w:sz w:val="28"/>
                <w:szCs w:val="28"/>
                <w:highlight w:val="none"/>
                <w:lang w:val="en-US" w:eastAsia="zh-CN"/>
              </w:rPr>
              <w:t>2</w:t>
            </w:r>
            <w:r>
              <w:rPr>
                <w:rFonts w:hint="default" w:ascii="Times New Roman" w:hAnsi="Times New Roman" w:eastAsia="仿宋_GB2312" w:cs="Times New Roman"/>
                <w:color w:val="auto"/>
                <w:kern w:val="0"/>
                <w:sz w:val="28"/>
                <w:szCs w:val="28"/>
                <w:highlight w:val="none"/>
              </w:rPr>
              <w:t xml:space="preserve">0%×100      </w:t>
            </w:r>
          </w:p>
        </w:tc>
        <w:tc>
          <w:tcPr>
            <w:tcW w:w="750" w:type="dxa"/>
            <w:noWrap w:val="0"/>
            <w:vAlign w:val="center"/>
          </w:tcPr>
          <w:p w14:paraId="1FBB52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2</w:t>
            </w:r>
            <w:r>
              <w:rPr>
                <w:rFonts w:hint="default" w:ascii="Times New Roman" w:hAnsi="Times New Roman" w:eastAsia="仿宋_GB2312" w:cs="Times New Roman"/>
                <w:color w:val="auto"/>
                <w:kern w:val="0"/>
                <w:sz w:val="28"/>
                <w:szCs w:val="28"/>
                <w:highlight w:val="none"/>
              </w:rPr>
              <w:t>0</w:t>
            </w:r>
          </w:p>
        </w:tc>
      </w:tr>
      <w:tr w14:paraId="67FE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493" w:type="dxa"/>
            <w:vMerge w:val="restart"/>
            <w:noWrap w:val="0"/>
            <w:textDirection w:val="lrTbV"/>
            <w:vAlign w:val="center"/>
          </w:tcPr>
          <w:p w14:paraId="5C9C89CC">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2</w:t>
            </w:r>
          </w:p>
        </w:tc>
        <w:tc>
          <w:tcPr>
            <w:tcW w:w="1431" w:type="dxa"/>
            <w:vMerge w:val="restart"/>
            <w:noWrap w:val="0"/>
            <w:vAlign w:val="center"/>
          </w:tcPr>
          <w:p w14:paraId="32034597">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履约能力</w:t>
            </w:r>
            <w:r>
              <w:rPr>
                <w:rFonts w:hint="default" w:ascii="Times New Roman" w:hAnsi="Times New Roman" w:eastAsia="仿宋_GB2312" w:cs="Times New Roman"/>
                <w:b/>
                <w:bCs/>
                <w:color w:val="auto"/>
                <w:kern w:val="0"/>
                <w:sz w:val="28"/>
                <w:szCs w:val="28"/>
                <w:highlight w:val="none"/>
                <w:lang w:val="en-US" w:eastAsia="zh-CN"/>
              </w:rPr>
              <w:t>（14分）</w:t>
            </w:r>
          </w:p>
        </w:tc>
        <w:tc>
          <w:tcPr>
            <w:tcW w:w="6630" w:type="dxa"/>
            <w:noWrap w:val="0"/>
            <w:vAlign w:val="center"/>
          </w:tcPr>
          <w:p w14:paraId="7DFACB25">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提供近三年（2022年6月1日至今）同类业绩，每提供一个业绩证明得2分，满分6分。（提供业绩清单并加盖公章，业绩清单应包括采购人名称及联系方式，如提供虚假业绩将按相关法规惩处。）</w:t>
            </w:r>
          </w:p>
        </w:tc>
        <w:tc>
          <w:tcPr>
            <w:tcW w:w="750" w:type="dxa"/>
            <w:noWrap w:val="0"/>
            <w:vAlign w:val="center"/>
          </w:tcPr>
          <w:p w14:paraId="08B02C9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6</w:t>
            </w:r>
          </w:p>
        </w:tc>
      </w:tr>
      <w:tr w14:paraId="7841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trPr>
        <w:tc>
          <w:tcPr>
            <w:tcW w:w="493" w:type="dxa"/>
            <w:vMerge w:val="continue"/>
            <w:noWrap w:val="0"/>
            <w:textDirection w:val="lrTbV"/>
            <w:vAlign w:val="center"/>
          </w:tcPr>
          <w:p w14:paraId="0040769C">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rPr>
            </w:pPr>
          </w:p>
        </w:tc>
        <w:tc>
          <w:tcPr>
            <w:tcW w:w="1431" w:type="dxa"/>
            <w:vMerge w:val="continue"/>
            <w:noWrap w:val="0"/>
            <w:vAlign w:val="center"/>
          </w:tcPr>
          <w:p w14:paraId="6691246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rPr>
            </w:pPr>
          </w:p>
        </w:tc>
        <w:tc>
          <w:tcPr>
            <w:tcW w:w="6630" w:type="dxa"/>
            <w:noWrap w:val="0"/>
            <w:vAlign w:val="center"/>
          </w:tcPr>
          <w:p w14:paraId="142AC283">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拟投入本项目的项目负责人资质：</w:t>
            </w:r>
          </w:p>
          <w:p w14:paraId="3CA5AD88">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1.具有设计类相关专业专科或以上学历，得3分，否则不得分；</w:t>
            </w:r>
          </w:p>
          <w:p w14:paraId="066B9068">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2.具有5年以上与设计相关的工作经验，得5分，否则不得分。</w:t>
            </w:r>
          </w:p>
          <w:p w14:paraId="2E5B2982">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注：①设计类相关专业包括艺术设计、环境艺术设计、视觉传达设计、工业设计、产品设计、服装设计、广告学等相关专业。②上述第（1）项须同时提供人员学历证书扫描件及中国高等教育学生信息网（学信网）网站（https://www.chsi.com.cn/）的学历证书查询结果截图。③投标人须提供投标人为其缴交的提交投标文件截止之日前三个月内（不含开标当月）任意一个月社保证明资料扫描件，否则本项不得分。 ④相关工作经验提供由供应商出具的声明文件（声明内容应包含该人员从事对应工作内容的起止时间及所负责的工作内容）；及与之匹配的社保证明，不同单位可以累计。</w:t>
            </w:r>
          </w:p>
        </w:tc>
        <w:tc>
          <w:tcPr>
            <w:tcW w:w="750" w:type="dxa"/>
            <w:noWrap w:val="0"/>
            <w:vAlign w:val="center"/>
          </w:tcPr>
          <w:p w14:paraId="1E7089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8</w:t>
            </w:r>
          </w:p>
        </w:tc>
      </w:tr>
      <w:tr w14:paraId="0BD1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93" w:type="dxa"/>
            <w:vMerge w:val="restart"/>
            <w:noWrap w:val="0"/>
            <w:textDirection w:val="lrTbV"/>
            <w:vAlign w:val="center"/>
          </w:tcPr>
          <w:p w14:paraId="16ECB446">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3</w:t>
            </w:r>
          </w:p>
        </w:tc>
        <w:tc>
          <w:tcPr>
            <w:tcW w:w="1431" w:type="dxa"/>
            <w:vMerge w:val="restart"/>
            <w:noWrap w:val="0"/>
            <w:vAlign w:val="center"/>
          </w:tcPr>
          <w:p w14:paraId="6A08A7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服务方案</w:t>
            </w:r>
          </w:p>
          <w:p w14:paraId="4C5825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kern w:val="0"/>
                <w:sz w:val="28"/>
                <w:szCs w:val="28"/>
                <w:highlight w:val="none"/>
                <w:lang w:val="en-US" w:eastAsia="zh-CN" w:bidi="ar"/>
              </w:rPr>
              <w:t>（42分）</w:t>
            </w:r>
          </w:p>
          <w:p w14:paraId="4B0F84E0">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rPr>
            </w:pPr>
          </w:p>
        </w:tc>
        <w:tc>
          <w:tcPr>
            <w:tcW w:w="6630" w:type="dxa"/>
            <w:noWrap w:val="0"/>
            <w:vAlign w:val="center"/>
          </w:tcPr>
          <w:p w14:paraId="357B5EA3">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服务实施方案：根据投标人针对本项目提供的服务实施方案进行评审，服务实施方案包括但不限于以下内容：①项目整体实施思路；②团队分工及流程；③备货保障方案；④服务进度保障；⑤服务质量保障；⑥安全措施保障等要素。所有要素齐全且完全满足项目要求得24分，每缺一个要素扣4分，每个要素里每有一处内容缺陷扣1.5分（扣完为止）。</w:t>
            </w:r>
          </w:p>
        </w:tc>
        <w:tc>
          <w:tcPr>
            <w:tcW w:w="750" w:type="dxa"/>
            <w:noWrap w:val="0"/>
            <w:vAlign w:val="center"/>
          </w:tcPr>
          <w:p w14:paraId="0E54190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24</w:t>
            </w:r>
          </w:p>
        </w:tc>
      </w:tr>
      <w:tr w14:paraId="3EE4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493" w:type="dxa"/>
            <w:vMerge w:val="continue"/>
            <w:noWrap w:val="0"/>
            <w:textDirection w:val="lrTbV"/>
            <w:vAlign w:val="center"/>
          </w:tcPr>
          <w:p w14:paraId="633C7E0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rPr>
            </w:pPr>
          </w:p>
        </w:tc>
        <w:tc>
          <w:tcPr>
            <w:tcW w:w="1431" w:type="dxa"/>
            <w:vMerge w:val="continue"/>
            <w:noWrap w:val="0"/>
            <w:vAlign w:val="center"/>
          </w:tcPr>
          <w:p w14:paraId="0167DC7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rPr>
            </w:pPr>
          </w:p>
        </w:tc>
        <w:tc>
          <w:tcPr>
            <w:tcW w:w="6630" w:type="dxa"/>
            <w:noWrap w:val="0"/>
            <w:vAlign w:val="center"/>
          </w:tcPr>
          <w:p w14:paraId="1CDFA040">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质量管理体系及保证措施：根据投标人提供的项目质量管理体系及保证措施进行评审，质量管理体系及保证措施包括但不限于以下内容：①制定完整的质量保证体系；②确保项目质量的技术组织措施；③针对质量目标及质量控制的保证措施3部分要素。所有要素齐全且完全满足项目要求得18分，每缺一个要素扣6分，每个要素里每有一处内容缺陷扣2分（扣完为止）</w:t>
            </w:r>
          </w:p>
        </w:tc>
        <w:tc>
          <w:tcPr>
            <w:tcW w:w="750" w:type="dxa"/>
            <w:noWrap w:val="0"/>
            <w:vAlign w:val="center"/>
          </w:tcPr>
          <w:p w14:paraId="6B82C3D6">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18</w:t>
            </w:r>
          </w:p>
        </w:tc>
      </w:tr>
      <w:tr w14:paraId="2ED8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93" w:type="dxa"/>
            <w:noWrap w:val="0"/>
            <w:textDirection w:val="lrTbV"/>
            <w:vAlign w:val="center"/>
          </w:tcPr>
          <w:p w14:paraId="1F16A121">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4</w:t>
            </w:r>
          </w:p>
        </w:tc>
        <w:tc>
          <w:tcPr>
            <w:tcW w:w="1431" w:type="dxa"/>
            <w:noWrap w:val="0"/>
            <w:vAlign w:val="center"/>
          </w:tcPr>
          <w:p w14:paraId="7E7CBB9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应急预案</w:t>
            </w:r>
          </w:p>
          <w:p w14:paraId="2794FADD">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bCs/>
                <w:color w:val="auto"/>
                <w:kern w:val="0"/>
                <w:sz w:val="28"/>
                <w:szCs w:val="28"/>
                <w:highlight w:val="none"/>
                <w:lang w:val="en-US" w:eastAsia="zh-CN"/>
              </w:rPr>
              <w:t>（12分）</w:t>
            </w:r>
          </w:p>
        </w:tc>
        <w:tc>
          <w:tcPr>
            <w:tcW w:w="6630" w:type="dxa"/>
            <w:noWrap w:val="0"/>
            <w:vAlign w:val="center"/>
          </w:tcPr>
          <w:p w14:paraId="5ED6794E">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将供应商提供的应急预案进行评审。应急管理方案详细，涵盖各类应急处理方案，并承诺紧急情况下仍能满足正常需要，方案切实可行，可操作性强的得12分；应急管理方案较详细，基本涵盖各类特殊应急处理方案，且方案实现具备可行性得8分；应急管理方案不全面，应急方案有缺失，可行性不强的得4分；无法提供的不得分。</w:t>
            </w:r>
          </w:p>
        </w:tc>
        <w:tc>
          <w:tcPr>
            <w:tcW w:w="750" w:type="dxa"/>
            <w:noWrap w:val="0"/>
            <w:vAlign w:val="center"/>
          </w:tcPr>
          <w:p w14:paraId="120B6CE0">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12</w:t>
            </w:r>
          </w:p>
        </w:tc>
      </w:tr>
      <w:tr w14:paraId="5F3C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493" w:type="dxa"/>
            <w:noWrap w:val="0"/>
            <w:textDirection w:val="lrTbV"/>
            <w:vAlign w:val="center"/>
          </w:tcPr>
          <w:p w14:paraId="4D1B7450">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5</w:t>
            </w:r>
          </w:p>
        </w:tc>
        <w:tc>
          <w:tcPr>
            <w:tcW w:w="1431" w:type="dxa"/>
            <w:noWrap w:val="0"/>
            <w:vAlign w:val="center"/>
          </w:tcPr>
          <w:p w14:paraId="5AC9702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售后维护</w:t>
            </w:r>
          </w:p>
          <w:p w14:paraId="4626421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服务方案</w:t>
            </w:r>
            <w:r>
              <w:rPr>
                <w:rFonts w:hint="default" w:ascii="Times New Roman" w:hAnsi="Times New Roman" w:eastAsia="仿宋_GB2312" w:cs="Times New Roman"/>
                <w:b/>
                <w:bCs/>
                <w:color w:val="auto"/>
                <w:kern w:val="0"/>
                <w:sz w:val="28"/>
                <w:szCs w:val="28"/>
                <w:highlight w:val="none"/>
                <w:lang w:val="en-US" w:eastAsia="zh-CN"/>
              </w:rPr>
              <w:t>（12分）</w:t>
            </w:r>
          </w:p>
        </w:tc>
        <w:tc>
          <w:tcPr>
            <w:tcW w:w="6630" w:type="dxa"/>
            <w:noWrap w:val="0"/>
            <w:vAlign w:val="center"/>
          </w:tcPr>
          <w:p w14:paraId="25791A13">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根据投标人针对本项目提供的售后维护服务方案进行评分，售后维护服务包括但不限于：①售后服务质量保障措施；②售后人员配置及岗位职责；③应急响应预案；④应急响应时间4部分要素。所有要素齐全且完全满足项目要求得12分，每缺一个要素扣3分，每个要素里每有一处内容缺陷扣1.5分（扣完为止）。</w:t>
            </w:r>
          </w:p>
        </w:tc>
        <w:tc>
          <w:tcPr>
            <w:tcW w:w="750" w:type="dxa"/>
            <w:noWrap w:val="0"/>
            <w:vAlign w:val="center"/>
          </w:tcPr>
          <w:p w14:paraId="13ED453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12</w:t>
            </w:r>
          </w:p>
        </w:tc>
      </w:tr>
      <w:tr w14:paraId="3EF7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554" w:type="dxa"/>
            <w:gridSpan w:val="3"/>
            <w:noWrap w:val="0"/>
            <w:vAlign w:val="center"/>
          </w:tcPr>
          <w:p w14:paraId="4E50F3F1">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评审得分合计</w:t>
            </w:r>
          </w:p>
        </w:tc>
        <w:tc>
          <w:tcPr>
            <w:tcW w:w="750" w:type="dxa"/>
            <w:noWrap w:val="0"/>
            <w:vAlign w:val="center"/>
          </w:tcPr>
          <w:p w14:paraId="1058BA0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100</w:t>
            </w:r>
          </w:p>
        </w:tc>
      </w:tr>
    </w:tbl>
    <w:p w14:paraId="019AFB3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14677"/>
    <w:rsid w:val="3511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2025-07-24T09:54:00Z</dcterms:created>
  <dc:creator>卑微小虎崽</dc:creator>
  <cp:lastModifiedBy>卑微小虎崽</cp:lastModifiedBy>
  <dcterms:modified xsi:type="dcterms:W3CDTF">2025-07-24T09:55:10Z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1E924FC582A844A882F28CA90CD4E9C9_11</vt:lpwstr>
  </property>
  <property fmtid="{D5CDD505-2E9C-101B-9397-08002B2CF9AE}" pid="4" name="KSOTemplateDocerSaveRecord">
    <vt:lpwstr>eyJoZGlkIjoiYzZkNzQ4ZWFiZmQ4NTRhOWRkZTk3YTMwMjlmMmZhYmUiLCJ1c2VySWQiOiIxMzQ0MTYwMDk1In0=</vt:lpwstr>
  </property>
</Properties>
</file>