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DDD45">
      <w:pPr>
        <w:pageBreakBefore w:val="0"/>
        <w:kinsoku/>
        <w:wordWrap/>
        <w:overflowPunct/>
        <w:topLinePunct w:val="0"/>
        <w:bidi w:val="0"/>
        <w:spacing w:line="576" w:lineRule="exact"/>
        <w:ind w:firstLine="0" w:firstLineChars="0"/>
        <w:jc w:val="both"/>
        <w:rPr>
          <w:rFonts w:hint="default" w:ascii="Times New Roman" w:hAnsi="Times New Roman" w:eastAsia="仿宋_GB2312" w:cs="Times New Roman"/>
          <w:color w:val="000000"/>
          <w:sz w:val="44"/>
          <w:szCs w:val="44"/>
          <w:shd w:val="clear" w:color="auto" w:fill="FFFFFF"/>
          <w:lang w:val="en-US" w:eastAsia="zh-CN"/>
        </w:rPr>
      </w:pPr>
      <w:r>
        <w:rPr>
          <w:rFonts w:hint="default" w:ascii="Times New Roman" w:hAnsi="Times New Roman" w:eastAsia="仿宋_GB2312" w:cs="Times New Roman"/>
          <w:bCs/>
          <w:sz w:val="32"/>
          <w:szCs w:val="32"/>
          <w:shd w:val="clear" w:color="auto" w:fill="auto"/>
          <w:lang w:val="en-US" w:eastAsia="zh-CN"/>
        </w:rPr>
        <w:t>附件：</w:t>
      </w:r>
    </w:p>
    <w:tbl>
      <w:tblPr>
        <w:tblStyle w:val="5"/>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9"/>
        <w:gridCol w:w="631"/>
        <w:gridCol w:w="5594"/>
        <w:gridCol w:w="1096"/>
      </w:tblGrid>
      <w:tr w14:paraId="516A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90" w:type="dxa"/>
            <w:gridSpan w:val="2"/>
            <w:vAlign w:val="center"/>
          </w:tcPr>
          <w:p w14:paraId="271C522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bCs/>
                <w:color w:val="auto"/>
                <w:kern w:val="21"/>
                <w:sz w:val="24"/>
                <w:szCs w:val="24"/>
                <w:highlight w:val="none"/>
              </w:rPr>
            </w:pPr>
            <w:r>
              <w:rPr>
                <w:rFonts w:hint="default" w:ascii="Times New Roman" w:hAnsi="Times New Roman" w:eastAsia="宋体" w:cs="Times New Roman"/>
                <w:b/>
                <w:bCs/>
                <w:color w:val="auto"/>
                <w:kern w:val="21"/>
                <w:sz w:val="24"/>
                <w:szCs w:val="24"/>
                <w:highlight w:val="none"/>
              </w:rPr>
              <w:t>评分内容</w:t>
            </w:r>
          </w:p>
        </w:tc>
        <w:tc>
          <w:tcPr>
            <w:tcW w:w="5594" w:type="dxa"/>
            <w:vAlign w:val="center"/>
          </w:tcPr>
          <w:p w14:paraId="3165B69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bCs/>
                <w:color w:val="auto"/>
                <w:kern w:val="21"/>
                <w:sz w:val="24"/>
                <w:szCs w:val="24"/>
                <w:highlight w:val="none"/>
              </w:rPr>
            </w:pPr>
            <w:r>
              <w:rPr>
                <w:rFonts w:hint="default" w:ascii="Times New Roman" w:hAnsi="Times New Roman" w:eastAsia="宋体" w:cs="Times New Roman"/>
                <w:b/>
                <w:bCs/>
                <w:color w:val="auto"/>
                <w:kern w:val="21"/>
                <w:sz w:val="24"/>
                <w:szCs w:val="24"/>
                <w:highlight w:val="none"/>
              </w:rPr>
              <w:t>评分标准</w:t>
            </w:r>
          </w:p>
        </w:tc>
        <w:tc>
          <w:tcPr>
            <w:tcW w:w="1096" w:type="dxa"/>
            <w:vAlign w:val="center"/>
          </w:tcPr>
          <w:p w14:paraId="7D29488F">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bCs/>
                <w:color w:val="auto"/>
                <w:kern w:val="21"/>
                <w:sz w:val="24"/>
                <w:szCs w:val="24"/>
                <w:highlight w:val="none"/>
              </w:rPr>
            </w:pPr>
            <w:r>
              <w:rPr>
                <w:rFonts w:hint="default" w:ascii="Times New Roman" w:hAnsi="Times New Roman" w:eastAsia="宋体" w:cs="Times New Roman"/>
                <w:b/>
                <w:bCs/>
                <w:color w:val="auto"/>
                <w:kern w:val="21"/>
                <w:sz w:val="24"/>
                <w:szCs w:val="24"/>
                <w:highlight w:val="none"/>
              </w:rPr>
              <w:t>分值</w:t>
            </w:r>
          </w:p>
        </w:tc>
      </w:tr>
      <w:tr w14:paraId="16BCB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559" w:type="dxa"/>
            <w:vMerge w:val="restart"/>
            <w:vAlign w:val="center"/>
          </w:tcPr>
          <w:p w14:paraId="3DB886E3">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技术</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lang w:val="en-US" w:eastAsia="zh-CN"/>
              </w:rPr>
              <w:t>54</w:t>
            </w:r>
            <w:r>
              <w:rPr>
                <w:rFonts w:hint="default" w:ascii="Times New Roman" w:hAnsi="Times New Roman" w:eastAsia="宋体" w:cs="Times New Roman"/>
                <w:color w:val="auto"/>
                <w:kern w:val="21"/>
                <w:sz w:val="24"/>
                <w:szCs w:val="24"/>
                <w:highlight w:val="none"/>
                <w:lang w:eastAsia="zh-CN"/>
              </w:rPr>
              <w:t>）</w:t>
            </w:r>
          </w:p>
        </w:tc>
        <w:tc>
          <w:tcPr>
            <w:tcW w:w="631" w:type="dxa"/>
            <w:vAlign w:val="center"/>
          </w:tcPr>
          <w:p w14:paraId="724E05AD">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bCs/>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val="zh-CN"/>
              </w:rPr>
              <w:t>重要技术参数响应</w:t>
            </w:r>
          </w:p>
        </w:tc>
        <w:tc>
          <w:tcPr>
            <w:tcW w:w="5594" w:type="dxa"/>
            <w:vAlign w:val="center"/>
          </w:tcPr>
          <w:p w14:paraId="2562C85F">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根据各投标人对“</w:t>
            </w:r>
            <w:r>
              <w:rPr>
                <w:rFonts w:ascii="Times New Roman" w:hAnsi="Times New Roman" w:eastAsia="宋体" w:cs="Times New Roman"/>
                <w:b/>
                <w:bCs/>
                <w:sz w:val="24"/>
                <w:szCs w:val="24"/>
                <w:highlight w:val="none"/>
              </w:rPr>
              <w:t>具体技术</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参数</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要求</w:t>
            </w:r>
            <w:r>
              <w:rPr>
                <w:rFonts w:hint="default" w:ascii="Times New Roman" w:hAnsi="Times New Roman" w:eastAsia="宋体" w:cs="Times New Roman"/>
                <w:color w:val="auto"/>
                <w:kern w:val="21"/>
                <w:sz w:val="24"/>
                <w:szCs w:val="24"/>
                <w:highlight w:val="none"/>
              </w:rPr>
              <w:t>”“▲”条款</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lang w:val="en-US" w:eastAsia="zh-CN"/>
              </w:rPr>
              <w:t>20条</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rPr>
              <w:t>的响应情况进行评审，有一条不满足或负偏离的扣</w:t>
            </w:r>
            <w:r>
              <w:rPr>
                <w:rFonts w:hint="default" w:ascii="Times New Roman" w:hAnsi="Times New Roman" w:eastAsia="宋体" w:cs="Times New Roman"/>
                <w:color w:val="auto"/>
                <w:kern w:val="21"/>
                <w:sz w:val="24"/>
                <w:szCs w:val="24"/>
                <w:highlight w:val="none"/>
                <w:lang w:val="en-US" w:eastAsia="zh-CN"/>
              </w:rPr>
              <w:t>1.5</w:t>
            </w:r>
            <w:r>
              <w:rPr>
                <w:rFonts w:hint="default" w:ascii="Times New Roman" w:hAnsi="Times New Roman" w:eastAsia="宋体" w:cs="Times New Roman"/>
                <w:color w:val="auto"/>
                <w:kern w:val="21"/>
                <w:sz w:val="24"/>
                <w:szCs w:val="24"/>
                <w:highlight w:val="none"/>
              </w:rPr>
              <w:t>分，扣完为止。如“</w:t>
            </w:r>
            <w:r>
              <w:rPr>
                <w:rFonts w:ascii="Times New Roman" w:hAnsi="Times New Roman" w:eastAsia="宋体" w:cs="Times New Roman"/>
                <w:b/>
                <w:bCs/>
                <w:sz w:val="24"/>
                <w:szCs w:val="24"/>
                <w:highlight w:val="none"/>
              </w:rPr>
              <w:t>具体技术</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参数</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要求</w:t>
            </w:r>
            <w:r>
              <w:rPr>
                <w:rFonts w:hint="default" w:ascii="Times New Roman" w:hAnsi="Times New Roman" w:eastAsia="宋体" w:cs="Times New Roman"/>
                <w:color w:val="auto"/>
                <w:kern w:val="21"/>
                <w:sz w:val="24"/>
                <w:szCs w:val="24"/>
                <w:highlight w:val="none"/>
              </w:rPr>
              <w:t>”中有明确要求提供的证明资料，则以“</w:t>
            </w:r>
            <w:r>
              <w:rPr>
                <w:rFonts w:ascii="Times New Roman" w:hAnsi="Times New Roman" w:eastAsia="宋体" w:cs="Times New Roman"/>
                <w:b/>
                <w:bCs/>
                <w:sz w:val="24"/>
                <w:szCs w:val="24"/>
                <w:highlight w:val="none"/>
              </w:rPr>
              <w:t>具体技术</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参数</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要求</w:t>
            </w:r>
            <w:r>
              <w:rPr>
                <w:rFonts w:hint="default" w:ascii="Times New Roman" w:hAnsi="Times New Roman" w:eastAsia="宋体" w:cs="Times New Roman"/>
                <w:color w:val="auto"/>
                <w:kern w:val="21"/>
                <w:sz w:val="24"/>
                <w:szCs w:val="24"/>
                <w:highlight w:val="none"/>
              </w:rPr>
              <w:t>”中要求的为准，未提供或未按要求提供证明材料的不得分；如“</w:t>
            </w:r>
            <w:r>
              <w:rPr>
                <w:rFonts w:ascii="Times New Roman" w:hAnsi="Times New Roman" w:eastAsia="宋体" w:cs="Times New Roman"/>
                <w:b/>
                <w:bCs/>
                <w:sz w:val="24"/>
                <w:szCs w:val="24"/>
                <w:highlight w:val="none"/>
              </w:rPr>
              <w:t>具体技术</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参数</w:t>
            </w:r>
            <w:r>
              <w:rPr>
                <w:rFonts w:hint="default" w:ascii="Times New Roman" w:hAnsi="Times New Roman" w:eastAsia="宋体" w:cs="Times New Roman"/>
                <w:b/>
                <w:bCs/>
                <w:sz w:val="24"/>
                <w:szCs w:val="24"/>
                <w:highlight w:val="none"/>
                <w:lang w:eastAsia="zh-CN"/>
              </w:rPr>
              <w:t>）</w:t>
            </w:r>
            <w:r>
              <w:rPr>
                <w:rFonts w:ascii="Times New Roman" w:hAnsi="Times New Roman" w:eastAsia="宋体" w:cs="Times New Roman"/>
                <w:b/>
                <w:bCs/>
                <w:sz w:val="24"/>
                <w:szCs w:val="24"/>
                <w:highlight w:val="none"/>
              </w:rPr>
              <w:t>要求</w:t>
            </w:r>
            <w:r>
              <w:rPr>
                <w:rFonts w:hint="default" w:ascii="Times New Roman" w:hAnsi="Times New Roman" w:eastAsia="宋体" w:cs="Times New Roman"/>
                <w:color w:val="auto"/>
                <w:kern w:val="21"/>
                <w:sz w:val="24"/>
                <w:szCs w:val="24"/>
                <w:highlight w:val="none"/>
              </w:rPr>
              <w:t>”中无明确证明材料的，以投标人投标文件中的自行响应为准，无填写或无响应的视为负偏离。</w:t>
            </w:r>
          </w:p>
          <w:p w14:paraId="3A3784F8">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lang w:eastAsia="zh-CN"/>
              </w:rPr>
            </w:pPr>
            <w:r>
              <w:rPr>
                <w:rFonts w:hint="default" w:ascii="Times New Roman" w:hAnsi="Times New Roman" w:eastAsia="宋体" w:cs="Times New Roman"/>
                <w:color w:val="auto"/>
                <w:kern w:val="21"/>
                <w:sz w:val="24"/>
                <w:szCs w:val="24"/>
                <w:highlight w:val="none"/>
                <w:lang w:eastAsia="zh-CN"/>
              </w:rPr>
              <w:t>注：提供的证明材料应作响应标识及所在页码。</w:t>
            </w:r>
          </w:p>
        </w:tc>
        <w:tc>
          <w:tcPr>
            <w:tcW w:w="1096" w:type="dxa"/>
            <w:vAlign w:val="center"/>
          </w:tcPr>
          <w:p w14:paraId="57F2840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30</w:t>
            </w:r>
          </w:p>
        </w:tc>
      </w:tr>
      <w:tr w14:paraId="5FDA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559" w:type="dxa"/>
            <w:vMerge w:val="continue"/>
            <w:vAlign w:val="center"/>
          </w:tcPr>
          <w:p w14:paraId="6E40896D">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p>
        </w:tc>
        <w:tc>
          <w:tcPr>
            <w:tcW w:w="631" w:type="dxa"/>
            <w:vAlign w:val="center"/>
          </w:tcPr>
          <w:p w14:paraId="1E59A897">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b/>
                <w:bCs/>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val="zh-CN"/>
              </w:rPr>
              <w:t>一般技术参数响应</w:t>
            </w:r>
          </w:p>
        </w:tc>
        <w:tc>
          <w:tcPr>
            <w:tcW w:w="5594" w:type="dxa"/>
            <w:vAlign w:val="center"/>
          </w:tcPr>
          <w:p w14:paraId="28829FCD">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根据各投标人对“</w:t>
            </w:r>
            <w:r>
              <w:rPr>
                <w:rFonts w:ascii="Times New Roman" w:hAnsi="Times New Roman" w:eastAsia="宋体" w:cs="Times New Roman"/>
                <w:b/>
                <w:bCs/>
                <w:sz w:val="24"/>
                <w:szCs w:val="24"/>
              </w:rPr>
              <w:t>具体技术</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参数</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要求</w:t>
            </w:r>
            <w:r>
              <w:rPr>
                <w:rFonts w:hint="default" w:ascii="Times New Roman" w:hAnsi="Times New Roman" w:eastAsia="宋体" w:cs="Times New Roman"/>
                <w:color w:val="auto"/>
                <w:kern w:val="21"/>
                <w:sz w:val="24"/>
                <w:szCs w:val="24"/>
                <w:highlight w:val="none"/>
              </w:rPr>
              <w:t>”</w:t>
            </w:r>
            <w:r>
              <w:rPr>
                <w:rFonts w:hint="default" w:ascii="Times New Roman" w:hAnsi="Times New Roman" w:eastAsia="宋体" w:cs="Times New Roman"/>
                <w:color w:val="auto"/>
                <w:kern w:val="21"/>
                <w:sz w:val="24"/>
                <w:szCs w:val="24"/>
                <w:highlight w:val="none"/>
                <w:lang w:eastAsia="zh-CN"/>
              </w:rPr>
              <w:t>非“</w:t>
            </w:r>
            <w:r>
              <w:rPr>
                <w:rFonts w:hint="default" w:ascii="Times New Roman" w:hAnsi="Times New Roman" w:eastAsia="宋体" w:cs="Times New Roman"/>
                <w:color w:val="auto"/>
                <w:kern w:val="21"/>
                <w:sz w:val="24"/>
                <w:szCs w:val="24"/>
                <w:highlight w:val="none"/>
              </w:rPr>
              <w:t>▲</w:t>
            </w:r>
            <w:r>
              <w:rPr>
                <w:rFonts w:hint="default" w:ascii="Times New Roman" w:hAnsi="Times New Roman" w:eastAsia="宋体" w:cs="Times New Roman"/>
                <w:color w:val="auto"/>
                <w:kern w:val="21"/>
                <w:sz w:val="24"/>
                <w:szCs w:val="24"/>
                <w:highlight w:val="none"/>
                <w:lang w:eastAsia="zh-CN"/>
              </w:rPr>
              <w:t>”</w:t>
            </w:r>
            <w:r>
              <w:rPr>
                <w:rFonts w:hint="default" w:ascii="Times New Roman" w:hAnsi="Times New Roman" w:eastAsia="宋体" w:cs="Times New Roman"/>
                <w:color w:val="auto"/>
                <w:kern w:val="21"/>
                <w:sz w:val="24"/>
                <w:szCs w:val="24"/>
                <w:highlight w:val="none"/>
              </w:rPr>
              <w:t>条款的响应情况进行评审，有一条不满足或负偏离的扣</w:t>
            </w:r>
            <w:r>
              <w:rPr>
                <w:rFonts w:hint="default" w:ascii="Times New Roman" w:hAnsi="Times New Roman" w:eastAsia="宋体" w:cs="Times New Roman"/>
                <w:color w:val="auto"/>
                <w:kern w:val="21"/>
                <w:sz w:val="24"/>
                <w:szCs w:val="24"/>
                <w:highlight w:val="none"/>
                <w:lang w:val="en-US" w:eastAsia="zh-CN"/>
              </w:rPr>
              <w:t>0.5</w:t>
            </w:r>
            <w:r>
              <w:rPr>
                <w:rFonts w:hint="default" w:ascii="Times New Roman" w:hAnsi="Times New Roman" w:eastAsia="宋体" w:cs="Times New Roman"/>
                <w:color w:val="auto"/>
                <w:kern w:val="21"/>
                <w:sz w:val="24"/>
                <w:szCs w:val="24"/>
                <w:highlight w:val="none"/>
              </w:rPr>
              <w:t>分，扣完为止。</w:t>
            </w:r>
          </w:p>
          <w:p w14:paraId="555656B3">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如“</w:t>
            </w:r>
            <w:r>
              <w:rPr>
                <w:rFonts w:ascii="Times New Roman" w:hAnsi="Times New Roman" w:eastAsia="宋体" w:cs="Times New Roman"/>
                <w:b/>
                <w:bCs/>
                <w:sz w:val="24"/>
                <w:szCs w:val="24"/>
              </w:rPr>
              <w:t>具体技术</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参数</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要求</w:t>
            </w:r>
            <w:r>
              <w:rPr>
                <w:rFonts w:hint="default" w:ascii="Times New Roman" w:hAnsi="Times New Roman" w:eastAsia="宋体" w:cs="Times New Roman"/>
                <w:color w:val="auto"/>
                <w:kern w:val="21"/>
                <w:sz w:val="24"/>
                <w:szCs w:val="24"/>
                <w:highlight w:val="none"/>
              </w:rPr>
              <w:t>”中有明确要求提供的证明资料，则以“</w:t>
            </w:r>
            <w:r>
              <w:rPr>
                <w:rFonts w:ascii="Times New Roman" w:hAnsi="Times New Roman" w:eastAsia="宋体" w:cs="Times New Roman"/>
                <w:b/>
                <w:bCs/>
                <w:sz w:val="24"/>
                <w:szCs w:val="24"/>
              </w:rPr>
              <w:t>具体技术</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参数</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要求</w:t>
            </w:r>
            <w:r>
              <w:rPr>
                <w:rFonts w:hint="default" w:ascii="Times New Roman" w:hAnsi="Times New Roman" w:eastAsia="宋体" w:cs="Times New Roman"/>
                <w:color w:val="auto"/>
                <w:kern w:val="21"/>
                <w:sz w:val="24"/>
                <w:szCs w:val="24"/>
                <w:highlight w:val="none"/>
              </w:rPr>
              <w:t>”中要求的为准，无提供或未按要求提供证明材料的不得分；如“</w:t>
            </w:r>
            <w:r>
              <w:rPr>
                <w:rFonts w:ascii="Times New Roman" w:hAnsi="Times New Roman" w:eastAsia="宋体" w:cs="Times New Roman"/>
                <w:b/>
                <w:bCs/>
                <w:sz w:val="24"/>
                <w:szCs w:val="24"/>
              </w:rPr>
              <w:t>具体技术</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参数</w:t>
            </w:r>
            <w:r>
              <w:rPr>
                <w:rFonts w:hint="default" w:ascii="Times New Roman" w:hAnsi="Times New Roman" w:eastAsia="宋体" w:cs="Times New Roman"/>
                <w:b/>
                <w:bCs/>
                <w:sz w:val="24"/>
                <w:szCs w:val="24"/>
                <w:lang w:eastAsia="zh-CN"/>
              </w:rPr>
              <w:t>）</w:t>
            </w:r>
            <w:r>
              <w:rPr>
                <w:rFonts w:ascii="Times New Roman" w:hAnsi="Times New Roman" w:eastAsia="宋体" w:cs="Times New Roman"/>
                <w:b/>
                <w:bCs/>
                <w:sz w:val="24"/>
                <w:szCs w:val="24"/>
              </w:rPr>
              <w:t>要求</w:t>
            </w:r>
            <w:r>
              <w:rPr>
                <w:rFonts w:hint="default" w:ascii="Times New Roman" w:hAnsi="Times New Roman" w:eastAsia="宋体" w:cs="Times New Roman"/>
                <w:color w:val="auto"/>
                <w:kern w:val="21"/>
                <w:sz w:val="24"/>
                <w:szCs w:val="24"/>
                <w:highlight w:val="none"/>
              </w:rPr>
              <w:t>”中无明确证明材料的，以投标人投标文件中的自行响应为准，无填写或无响应的视为负偏离。</w:t>
            </w:r>
          </w:p>
          <w:p w14:paraId="5823BF87">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eastAsia="zh-CN"/>
              </w:rPr>
              <w:t>注：提供的证明材料应作响应标识及所在页码。</w:t>
            </w:r>
          </w:p>
        </w:tc>
        <w:tc>
          <w:tcPr>
            <w:tcW w:w="1096" w:type="dxa"/>
            <w:vAlign w:val="center"/>
          </w:tcPr>
          <w:p w14:paraId="7F616126">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8</w:t>
            </w:r>
          </w:p>
        </w:tc>
      </w:tr>
      <w:tr w14:paraId="6A85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vMerge w:val="continue"/>
            <w:vAlign w:val="center"/>
          </w:tcPr>
          <w:p w14:paraId="0E575A68">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p>
        </w:tc>
        <w:tc>
          <w:tcPr>
            <w:tcW w:w="631" w:type="dxa"/>
            <w:vAlign w:val="center"/>
          </w:tcPr>
          <w:p w14:paraId="48D49802">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总体实施方案</w:t>
            </w:r>
          </w:p>
        </w:tc>
        <w:tc>
          <w:tcPr>
            <w:tcW w:w="5594" w:type="dxa"/>
            <w:vAlign w:val="center"/>
          </w:tcPr>
          <w:p w14:paraId="3BBB3178">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根据投标人提供</w:t>
            </w:r>
            <w:r>
              <w:rPr>
                <w:rFonts w:hint="default" w:ascii="Times New Roman" w:hAnsi="Times New Roman" w:eastAsia="宋体" w:cs="Times New Roman"/>
                <w:color w:val="auto"/>
                <w:kern w:val="21"/>
                <w:sz w:val="24"/>
                <w:szCs w:val="24"/>
                <w:highlight w:val="none"/>
                <w:lang w:val="en-US" w:eastAsia="zh-CN"/>
              </w:rPr>
              <w:t>的实施方案，</w:t>
            </w:r>
            <w:r>
              <w:rPr>
                <w:rFonts w:hint="default" w:ascii="Times New Roman" w:hAnsi="Times New Roman" w:eastAsia="宋体" w:cs="Times New Roman"/>
                <w:color w:val="auto"/>
                <w:kern w:val="21"/>
                <w:sz w:val="24"/>
                <w:szCs w:val="24"/>
                <w:highlight w:val="none"/>
              </w:rPr>
              <w:t>准确理解项目需求内容，方案重点明确，特点突出进行评分：</w:t>
            </w:r>
          </w:p>
          <w:p w14:paraId="369E6F40">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1.项目实施方案完整、科学合理、可行性强，得</w:t>
            </w:r>
            <w:r>
              <w:rPr>
                <w:rFonts w:hint="default" w:ascii="Times New Roman" w:hAnsi="Times New Roman" w:eastAsia="宋体" w:cs="Times New Roman"/>
                <w:color w:val="auto"/>
                <w:kern w:val="21"/>
                <w:sz w:val="24"/>
                <w:szCs w:val="24"/>
                <w:highlight w:val="none"/>
                <w:lang w:val="en-US" w:eastAsia="zh-CN"/>
              </w:rPr>
              <w:t>4</w:t>
            </w:r>
            <w:r>
              <w:rPr>
                <w:rFonts w:hint="default" w:ascii="Times New Roman" w:hAnsi="Times New Roman" w:eastAsia="宋体" w:cs="Times New Roman"/>
                <w:color w:val="auto"/>
                <w:kern w:val="21"/>
                <w:sz w:val="24"/>
                <w:szCs w:val="24"/>
                <w:highlight w:val="none"/>
              </w:rPr>
              <w:t>分；</w:t>
            </w:r>
          </w:p>
          <w:p w14:paraId="6FAB9692">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2.项目实施方案较完整、较科学合理、可行性较强，得</w:t>
            </w:r>
            <w:r>
              <w:rPr>
                <w:rFonts w:hint="default" w:ascii="Times New Roman" w:hAnsi="Times New Roman" w:eastAsia="宋体" w:cs="Times New Roman"/>
                <w:color w:val="auto"/>
                <w:kern w:val="21"/>
                <w:sz w:val="24"/>
                <w:szCs w:val="24"/>
                <w:highlight w:val="none"/>
                <w:lang w:val="en-US" w:eastAsia="zh-CN"/>
              </w:rPr>
              <w:t>2</w:t>
            </w:r>
            <w:r>
              <w:rPr>
                <w:rFonts w:hint="default" w:ascii="Times New Roman" w:hAnsi="Times New Roman" w:eastAsia="宋体" w:cs="Times New Roman"/>
                <w:color w:val="auto"/>
                <w:kern w:val="21"/>
                <w:sz w:val="24"/>
                <w:szCs w:val="24"/>
                <w:highlight w:val="none"/>
              </w:rPr>
              <w:t xml:space="preserve">分； </w:t>
            </w:r>
          </w:p>
          <w:p w14:paraId="534969CE">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3.项目实施方案缺漏、科学合理性一般、可行性一般，得</w:t>
            </w:r>
            <w:r>
              <w:rPr>
                <w:rFonts w:hint="default" w:ascii="Times New Roman" w:hAnsi="Times New Roman" w:eastAsia="宋体" w:cs="Times New Roman"/>
                <w:color w:val="auto"/>
                <w:kern w:val="21"/>
                <w:sz w:val="24"/>
                <w:szCs w:val="24"/>
                <w:highlight w:val="none"/>
                <w:lang w:val="en-US" w:eastAsia="zh-CN"/>
              </w:rPr>
              <w:t>1</w:t>
            </w:r>
            <w:r>
              <w:rPr>
                <w:rFonts w:hint="default" w:ascii="Times New Roman" w:hAnsi="Times New Roman" w:eastAsia="宋体" w:cs="Times New Roman"/>
                <w:color w:val="auto"/>
                <w:kern w:val="21"/>
                <w:sz w:val="24"/>
                <w:szCs w:val="24"/>
                <w:highlight w:val="none"/>
              </w:rPr>
              <w:t>分；</w:t>
            </w:r>
          </w:p>
          <w:p w14:paraId="3D2BD06F">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4.项目实施方案缺漏、不够科学合理、可行性差，</w:t>
            </w:r>
            <w:r>
              <w:rPr>
                <w:rFonts w:hint="default" w:ascii="Times New Roman" w:hAnsi="Times New Roman" w:eastAsia="宋体" w:cs="Times New Roman"/>
                <w:color w:val="auto"/>
                <w:kern w:val="21"/>
                <w:sz w:val="24"/>
                <w:szCs w:val="24"/>
                <w:highlight w:val="none"/>
                <w:lang w:eastAsia="zh-CN"/>
              </w:rPr>
              <w:t>不得分</w:t>
            </w:r>
            <w:r>
              <w:rPr>
                <w:rFonts w:hint="default" w:ascii="Times New Roman" w:hAnsi="Times New Roman" w:eastAsia="宋体" w:cs="Times New Roman"/>
                <w:color w:val="auto"/>
                <w:kern w:val="21"/>
                <w:sz w:val="24"/>
                <w:szCs w:val="24"/>
                <w:highlight w:val="none"/>
              </w:rPr>
              <w:t>。</w:t>
            </w:r>
          </w:p>
          <w:p w14:paraId="0F3CEEBA">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eastAsia="zh-CN"/>
              </w:rPr>
              <w:t>未提供不得分</w:t>
            </w:r>
            <w:r>
              <w:rPr>
                <w:rFonts w:hint="default" w:ascii="Times New Roman" w:hAnsi="Times New Roman" w:eastAsia="宋体" w:cs="Times New Roman"/>
                <w:color w:val="auto"/>
                <w:kern w:val="21"/>
                <w:sz w:val="24"/>
                <w:szCs w:val="24"/>
                <w:highlight w:val="none"/>
              </w:rPr>
              <w:t>。</w:t>
            </w:r>
          </w:p>
        </w:tc>
        <w:tc>
          <w:tcPr>
            <w:tcW w:w="1096" w:type="dxa"/>
            <w:vAlign w:val="center"/>
          </w:tcPr>
          <w:p w14:paraId="557A6C1B">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val="en-US" w:eastAsia="zh-CN"/>
              </w:rPr>
              <w:t>4</w:t>
            </w:r>
          </w:p>
        </w:tc>
      </w:tr>
      <w:tr w14:paraId="1787F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59" w:type="dxa"/>
            <w:vMerge w:val="continue"/>
            <w:vAlign w:val="center"/>
          </w:tcPr>
          <w:p w14:paraId="7628F8A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p>
        </w:tc>
        <w:tc>
          <w:tcPr>
            <w:tcW w:w="631" w:type="dxa"/>
            <w:vAlign w:val="center"/>
          </w:tcPr>
          <w:p w14:paraId="147798E6">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售后服务保障措施</w:t>
            </w:r>
          </w:p>
        </w:tc>
        <w:tc>
          <w:tcPr>
            <w:tcW w:w="5594" w:type="dxa"/>
            <w:vAlign w:val="center"/>
          </w:tcPr>
          <w:p w14:paraId="21972F4C">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根据响应供应商提供的售后服务方案（包括但不限于应急预案、服务承诺等）进行评分：</w:t>
            </w:r>
          </w:p>
          <w:p w14:paraId="51F78E58">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1.售后服务方案完整全面、无缺漏，应急预案针对本项目可能出现的故障有详细的应对措施及相应的解决方案，服务承诺具体、完全满足采购需求的，得</w:t>
            </w:r>
            <w:r>
              <w:rPr>
                <w:rFonts w:hint="default" w:ascii="Times New Roman" w:hAnsi="Times New Roman" w:eastAsia="宋体" w:cs="Times New Roman"/>
                <w:strike w:val="0"/>
                <w:dstrike w:val="0"/>
                <w:color w:val="auto"/>
                <w:kern w:val="21"/>
                <w:sz w:val="24"/>
                <w:szCs w:val="24"/>
                <w:highlight w:val="none"/>
                <w:lang w:val="en-US" w:eastAsia="zh-CN"/>
              </w:rPr>
              <w:t>4</w:t>
            </w:r>
            <w:r>
              <w:rPr>
                <w:rFonts w:hint="default" w:ascii="Times New Roman" w:hAnsi="Times New Roman" w:eastAsia="宋体" w:cs="Times New Roman"/>
                <w:strike w:val="0"/>
                <w:dstrike w:val="0"/>
                <w:color w:val="auto"/>
                <w:kern w:val="21"/>
                <w:sz w:val="24"/>
                <w:szCs w:val="24"/>
                <w:highlight w:val="none"/>
              </w:rPr>
              <w:t>分。</w:t>
            </w:r>
          </w:p>
          <w:p w14:paraId="4A70A2D8">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2.售后服务方案完整全面、无缺漏，应急预案针对本项目可能出现的故障有较详细的应对措施及相应的解决方案，服务承诺具体、基本满足采购需求的，得</w:t>
            </w:r>
            <w:r>
              <w:rPr>
                <w:rFonts w:hint="default" w:ascii="Times New Roman" w:hAnsi="Times New Roman" w:eastAsia="宋体" w:cs="Times New Roman"/>
                <w:strike w:val="0"/>
                <w:dstrike w:val="0"/>
                <w:color w:val="auto"/>
                <w:kern w:val="21"/>
                <w:sz w:val="24"/>
                <w:szCs w:val="24"/>
                <w:highlight w:val="none"/>
                <w:lang w:val="en-US" w:eastAsia="zh-CN"/>
              </w:rPr>
              <w:t>2</w:t>
            </w:r>
            <w:r>
              <w:rPr>
                <w:rFonts w:hint="default" w:ascii="Times New Roman" w:hAnsi="Times New Roman" w:eastAsia="宋体" w:cs="Times New Roman"/>
                <w:strike w:val="0"/>
                <w:dstrike w:val="0"/>
                <w:color w:val="auto"/>
                <w:kern w:val="21"/>
                <w:sz w:val="24"/>
                <w:szCs w:val="24"/>
                <w:highlight w:val="none"/>
              </w:rPr>
              <w:t>分；</w:t>
            </w:r>
          </w:p>
          <w:p w14:paraId="7B52D861">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3.售后服务方案完整、无缺漏，但方案简单、缺乏针对性、与项目实施存在偏差，得</w:t>
            </w:r>
            <w:r>
              <w:rPr>
                <w:rFonts w:hint="default" w:ascii="Times New Roman" w:hAnsi="Times New Roman" w:eastAsia="宋体" w:cs="Times New Roman"/>
                <w:strike w:val="0"/>
                <w:dstrike w:val="0"/>
                <w:color w:val="auto"/>
                <w:kern w:val="21"/>
                <w:sz w:val="24"/>
                <w:szCs w:val="24"/>
                <w:highlight w:val="none"/>
                <w:lang w:val="en-US" w:eastAsia="zh-CN"/>
              </w:rPr>
              <w:t>1</w:t>
            </w:r>
            <w:r>
              <w:rPr>
                <w:rFonts w:hint="default" w:ascii="Times New Roman" w:hAnsi="Times New Roman" w:eastAsia="宋体" w:cs="Times New Roman"/>
                <w:strike w:val="0"/>
                <w:dstrike w:val="0"/>
                <w:color w:val="auto"/>
                <w:kern w:val="21"/>
                <w:sz w:val="24"/>
                <w:szCs w:val="24"/>
                <w:highlight w:val="none"/>
              </w:rPr>
              <w:t>分。</w:t>
            </w:r>
          </w:p>
          <w:p w14:paraId="4795A7A0">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rPr>
              <w:t>4.售后服务方案不全、有缺漏，</w:t>
            </w:r>
            <w:r>
              <w:rPr>
                <w:rFonts w:hint="default" w:ascii="Times New Roman" w:hAnsi="Times New Roman" w:eastAsia="宋体" w:cs="Times New Roman"/>
                <w:strike w:val="0"/>
                <w:dstrike w:val="0"/>
                <w:color w:val="auto"/>
                <w:kern w:val="21"/>
                <w:sz w:val="24"/>
                <w:szCs w:val="24"/>
                <w:highlight w:val="none"/>
                <w:lang w:eastAsia="zh-CN"/>
              </w:rPr>
              <w:t>不得分</w:t>
            </w:r>
            <w:r>
              <w:rPr>
                <w:rFonts w:hint="default" w:ascii="Times New Roman" w:hAnsi="Times New Roman" w:eastAsia="宋体" w:cs="Times New Roman"/>
                <w:strike w:val="0"/>
                <w:dstrike w:val="0"/>
                <w:color w:val="auto"/>
                <w:kern w:val="21"/>
                <w:sz w:val="24"/>
                <w:szCs w:val="24"/>
                <w:highlight w:val="none"/>
              </w:rPr>
              <w:t>。</w:t>
            </w:r>
          </w:p>
          <w:p w14:paraId="58FF3F34">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strike w:val="0"/>
                <w:dstrike w:val="0"/>
                <w:color w:val="auto"/>
                <w:kern w:val="21"/>
                <w:sz w:val="24"/>
                <w:szCs w:val="24"/>
                <w:highlight w:val="none"/>
              </w:rPr>
            </w:pPr>
            <w:r>
              <w:rPr>
                <w:rFonts w:hint="default" w:ascii="Times New Roman" w:hAnsi="Times New Roman" w:eastAsia="宋体" w:cs="Times New Roman"/>
                <w:strike w:val="0"/>
                <w:dstrike w:val="0"/>
                <w:color w:val="auto"/>
                <w:kern w:val="21"/>
                <w:sz w:val="24"/>
                <w:szCs w:val="24"/>
                <w:highlight w:val="none"/>
                <w:lang w:eastAsia="zh-CN"/>
              </w:rPr>
              <w:t>未提供不得分</w:t>
            </w:r>
            <w:r>
              <w:rPr>
                <w:rFonts w:hint="default" w:ascii="Times New Roman" w:hAnsi="Times New Roman" w:eastAsia="宋体" w:cs="Times New Roman"/>
                <w:strike w:val="0"/>
                <w:dstrike w:val="0"/>
                <w:color w:val="auto"/>
                <w:kern w:val="21"/>
                <w:sz w:val="24"/>
                <w:szCs w:val="24"/>
                <w:highlight w:val="none"/>
              </w:rPr>
              <w:t>。</w:t>
            </w:r>
          </w:p>
        </w:tc>
        <w:tc>
          <w:tcPr>
            <w:tcW w:w="1096" w:type="dxa"/>
            <w:vAlign w:val="center"/>
          </w:tcPr>
          <w:p w14:paraId="6DE4AD4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strike w:val="0"/>
                <w:dstrike w:val="0"/>
                <w:color w:val="auto"/>
                <w:kern w:val="21"/>
                <w:sz w:val="24"/>
                <w:szCs w:val="24"/>
                <w:highlight w:val="none"/>
                <w:lang w:eastAsia="zh-CN"/>
              </w:rPr>
            </w:pPr>
            <w:r>
              <w:rPr>
                <w:rFonts w:hint="default" w:ascii="Times New Roman" w:hAnsi="Times New Roman" w:eastAsia="宋体" w:cs="Times New Roman"/>
                <w:strike w:val="0"/>
                <w:dstrike w:val="0"/>
                <w:color w:val="auto"/>
                <w:kern w:val="21"/>
                <w:sz w:val="24"/>
                <w:szCs w:val="24"/>
                <w:highlight w:val="none"/>
                <w:lang w:val="en-US" w:eastAsia="zh-CN"/>
              </w:rPr>
              <w:t>4</w:t>
            </w:r>
          </w:p>
        </w:tc>
      </w:tr>
      <w:tr w14:paraId="67ACD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5" w:hRule="atLeast"/>
          <w:jc w:val="center"/>
        </w:trPr>
        <w:tc>
          <w:tcPr>
            <w:tcW w:w="1559" w:type="dxa"/>
            <w:vMerge w:val="continue"/>
            <w:vAlign w:val="center"/>
          </w:tcPr>
          <w:p w14:paraId="1524B75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p>
        </w:tc>
        <w:tc>
          <w:tcPr>
            <w:tcW w:w="631" w:type="dxa"/>
            <w:vAlign w:val="center"/>
          </w:tcPr>
          <w:p w14:paraId="0017889B">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质量保障方案</w:t>
            </w:r>
          </w:p>
        </w:tc>
        <w:tc>
          <w:tcPr>
            <w:tcW w:w="5594" w:type="dxa"/>
            <w:vAlign w:val="center"/>
          </w:tcPr>
          <w:p w14:paraId="53EE3DDC">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根据投标人提供的质量保证方案（包括质量目标、质量保障措施、安装质量控制等）进行评分：</w:t>
            </w:r>
          </w:p>
          <w:p w14:paraId="43DC7DA3">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1.对本项目有清晰明确的质量目标，能根据采购需求编制产品质量保障措施且步骤详细</w:t>
            </w:r>
            <w:r>
              <w:rPr>
                <w:rFonts w:hint="eastAsia" w:ascii="Times New Roman" w:hAnsi="Times New Roman" w:eastAsia="宋体" w:cs="Times New Roman"/>
                <w:color w:val="auto"/>
                <w:kern w:val="21"/>
                <w:sz w:val="24"/>
                <w:szCs w:val="24"/>
                <w:highlight w:val="none"/>
                <w:lang w:eastAsia="zh-CN"/>
              </w:rPr>
              <w:t>，具</w:t>
            </w:r>
            <w:r>
              <w:rPr>
                <w:rFonts w:hint="default" w:ascii="Times New Roman" w:hAnsi="Times New Roman" w:eastAsia="宋体" w:cs="Times New Roman"/>
                <w:color w:val="auto"/>
                <w:kern w:val="21"/>
                <w:sz w:val="24"/>
                <w:szCs w:val="24"/>
                <w:highlight w:val="none"/>
              </w:rPr>
              <w:t>有安装质量控制的计划措施，得</w:t>
            </w:r>
            <w:r>
              <w:rPr>
                <w:rFonts w:hint="default" w:ascii="Times New Roman" w:hAnsi="Times New Roman" w:eastAsia="宋体" w:cs="Times New Roman"/>
                <w:color w:val="auto"/>
                <w:kern w:val="21"/>
                <w:sz w:val="24"/>
                <w:szCs w:val="24"/>
                <w:highlight w:val="none"/>
                <w:lang w:val="en-US" w:eastAsia="zh-CN"/>
              </w:rPr>
              <w:t>4</w:t>
            </w:r>
            <w:r>
              <w:rPr>
                <w:rFonts w:hint="default" w:ascii="Times New Roman" w:hAnsi="Times New Roman" w:eastAsia="宋体" w:cs="Times New Roman"/>
                <w:color w:val="auto"/>
                <w:kern w:val="21"/>
                <w:sz w:val="24"/>
                <w:szCs w:val="24"/>
                <w:highlight w:val="none"/>
              </w:rPr>
              <w:t>分；</w:t>
            </w:r>
          </w:p>
          <w:p w14:paraId="6B6CEB24">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2.对本项目质量目标较清晰明确，有产品质量保障措施且较详细，有安装质量控制的计划措施，得</w:t>
            </w:r>
            <w:r>
              <w:rPr>
                <w:rFonts w:hint="default" w:ascii="Times New Roman" w:hAnsi="Times New Roman" w:eastAsia="宋体" w:cs="Times New Roman"/>
                <w:color w:val="auto"/>
                <w:kern w:val="21"/>
                <w:sz w:val="24"/>
                <w:szCs w:val="24"/>
                <w:highlight w:val="none"/>
                <w:lang w:val="en-US" w:eastAsia="zh-CN"/>
              </w:rPr>
              <w:t>2</w:t>
            </w:r>
            <w:r>
              <w:rPr>
                <w:rFonts w:hint="default" w:ascii="Times New Roman" w:hAnsi="Times New Roman" w:eastAsia="宋体" w:cs="Times New Roman"/>
                <w:color w:val="auto"/>
                <w:kern w:val="21"/>
                <w:sz w:val="24"/>
                <w:szCs w:val="24"/>
                <w:highlight w:val="none"/>
              </w:rPr>
              <w:t>分；</w:t>
            </w:r>
          </w:p>
          <w:p w14:paraId="59A32B93">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3.对本项目的质量目标明确，有产品质量保障措施但不够详细，有安装质量控制的计划措施，得</w:t>
            </w:r>
            <w:r>
              <w:rPr>
                <w:rFonts w:hint="default" w:ascii="Times New Roman" w:hAnsi="Times New Roman" w:eastAsia="宋体" w:cs="Times New Roman"/>
                <w:color w:val="auto"/>
                <w:kern w:val="21"/>
                <w:sz w:val="24"/>
                <w:szCs w:val="24"/>
                <w:highlight w:val="none"/>
                <w:lang w:val="en-US" w:eastAsia="zh-CN"/>
              </w:rPr>
              <w:t>1</w:t>
            </w:r>
            <w:r>
              <w:rPr>
                <w:rFonts w:hint="default" w:ascii="Times New Roman" w:hAnsi="Times New Roman" w:eastAsia="宋体" w:cs="Times New Roman"/>
                <w:color w:val="auto"/>
                <w:kern w:val="21"/>
                <w:sz w:val="24"/>
                <w:szCs w:val="24"/>
                <w:highlight w:val="none"/>
              </w:rPr>
              <w:t>分；</w:t>
            </w:r>
          </w:p>
          <w:p w14:paraId="1CF0BCEF">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4.质量目标不够明确，无产品质量保障措施或质保期满后的计划措施，</w:t>
            </w:r>
            <w:r>
              <w:rPr>
                <w:rFonts w:hint="default" w:ascii="Times New Roman" w:hAnsi="Times New Roman" w:eastAsia="宋体" w:cs="Times New Roman"/>
                <w:color w:val="auto"/>
                <w:kern w:val="21"/>
                <w:sz w:val="24"/>
                <w:szCs w:val="24"/>
                <w:highlight w:val="none"/>
                <w:lang w:eastAsia="zh-CN"/>
              </w:rPr>
              <w:t>不得分</w:t>
            </w:r>
            <w:r>
              <w:rPr>
                <w:rFonts w:hint="default" w:ascii="Times New Roman" w:hAnsi="Times New Roman" w:eastAsia="宋体" w:cs="Times New Roman"/>
                <w:color w:val="auto"/>
                <w:kern w:val="21"/>
                <w:sz w:val="24"/>
                <w:szCs w:val="24"/>
                <w:highlight w:val="none"/>
              </w:rPr>
              <w:t>；</w:t>
            </w:r>
          </w:p>
          <w:p w14:paraId="4C522DBF">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eastAsia="zh-CN"/>
              </w:rPr>
              <w:t>未提供不得分</w:t>
            </w:r>
            <w:r>
              <w:rPr>
                <w:rFonts w:hint="default" w:ascii="Times New Roman" w:hAnsi="Times New Roman" w:eastAsia="宋体" w:cs="Times New Roman"/>
                <w:color w:val="auto"/>
                <w:kern w:val="21"/>
                <w:sz w:val="24"/>
                <w:szCs w:val="24"/>
                <w:highlight w:val="none"/>
              </w:rPr>
              <w:t>。</w:t>
            </w:r>
          </w:p>
        </w:tc>
        <w:tc>
          <w:tcPr>
            <w:tcW w:w="1096" w:type="dxa"/>
            <w:vAlign w:val="center"/>
          </w:tcPr>
          <w:p w14:paraId="65C0CFBB">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rPr>
            </w:pPr>
            <w:r>
              <w:rPr>
                <w:rFonts w:hint="default" w:ascii="Times New Roman" w:hAnsi="Times New Roman" w:eastAsia="宋体" w:cs="Times New Roman"/>
                <w:color w:val="auto"/>
                <w:kern w:val="21"/>
                <w:sz w:val="24"/>
                <w:szCs w:val="24"/>
                <w:highlight w:val="none"/>
                <w:lang w:val="en-US" w:eastAsia="zh-CN"/>
              </w:rPr>
              <w:t>4</w:t>
            </w:r>
          </w:p>
        </w:tc>
      </w:tr>
      <w:tr w14:paraId="77F8A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59" w:type="dxa"/>
            <w:vMerge w:val="continue"/>
            <w:vAlign w:val="center"/>
          </w:tcPr>
          <w:p w14:paraId="56F9F9A2">
            <w:pPr>
              <w:keepNext w:val="0"/>
              <w:keepLines w:val="0"/>
              <w:pageBreakBefore w:val="0"/>
              <w:kinsoku/>
              <w:wordWrap/>
              <w:overflowPunct/>
              <w:topLinePunct w:val="0"/>
              <w:autoSpaceDE/>
              <w:autoSpaceDN/>
              <w:bidi w:val="0"/>
              <w:adjustRightInd/>
              <w:snapToGrid/>
              <w:spacing w:line="0" w:lineRule="atLeast"/>
              <w:ind w:firstLine="240" w:firstLineChars="100"/>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657FD33C">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培训方案</w:t>
            </w:r>
          </w:p>
        </w:tc>
        <w:tc>
          <w:tcPr>
            <w:tcW w:w="5594" w:type="dxa"/>
            <w:vAlign w:val="center"/>
          </w:tcPr>
          <w:p w14:paraId="7B7B1A4B">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根据响应供应商的</w:t>
            </w:r>
            <w:r>
              <w:rPr>
                <w:rFonts w:hint="default" w:ascii="Times New Roman" w:hAnsi="Times New Roman" w:eastAsia="宋体" w:cs="Times New Roman"/>
                <w:color w:val="auto"/>
                <w:sz w:val="24"/>
                <w:szCs w:val="24"/>
                <w:highlight w:val="none"/>
              </w:rPr>
              <w:t xml:space="preserve">技术培训方案（包含但不限于培训计划及培训安排）进行评审： </w:t>
            </w:r>
          </w:p>
          <w:p w14:paraId="480691CC">
            <w:pPr>
              <w:keepNext w:val="0"/>
              <w:keepLines w:val="0"/>
              <w:pageBreakBefore w:val="0"/>
              <w:numPr>
                <w:ilvl w:val="0"/>
                <w:numId w:val="0"/>
              </w:numPr>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技术培训方案详细完善，可行性高、操作性强，培训计划安排合理，具有针对性，得</w:t>
            </w: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分；</w:t>
            </w:r>
          </w:p>
          <w:p w14:paraId="62B1ACF6">
            <w:pPr>
              <w:keepNext w:val="0"/>
              <w:keepLines w:val="0"/>
              <w:pageBreakBefore w:val="0"/>
              <w:numPr>
                <w:ilvl w:val="0"/>
                <w:numId w:val="0"/>
              </w:numPr>
              <w:kinsoku/>
              <w:wordWrap/>
              <w:overflowPunct/>
              <w:topLinePunct w:val="0"/>
              <w:autoSpaceDE/>
              <w:autoSpaceDN/>
              <w:bidi w:val="0"/>
              <w:adjustRightInd/>
              <w:snapToGrid/>
              <w:spacing w:line="0" w:lineRule="atLeast"/>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技术培训方案</w:t>
            </w:r>
            <w:r>
              <w:rPr>
                <w:rFonts w:hint="default" w:ascii="Times New Roman" w:hAnsi="Times New Roman" w:eastAsia="宋体" w:cs="Times New Roman"/>
                <w:color w:val="auto"/>
                <w:sz w:val="24"/>
                <w:szCs w:val="24"/>
                <w:highlight w:val="none"/>
                <w:lang w:val="en-US" w:eastAsia="zh-CN"/>
              </w:rPr>
              <w:t>较</w:t>
            </w:r>
            <w:r>
              <w:rPr>
                <w:rFonts w:hint="default" w:ascii="Times New Roman" w:hAnsi="Times New Roman" w:eastAsia="宋体" w:cs="Times New Roman"/>
                <w:color w:val="auto"/>
                <w:sz w:val="24"/>
                <w:szCs w:val="24"/>
                <w:highlight w:val="none"/>
              </w:rPr>
              <w:t>详细，</w:t>
            </w:r>
            <w:r>
              <w:rPr>
                <w:rFonts w:hint="default" w:ascii="Times New Roman" w:hAnsi="Times New Roman" w:eastAsia="宋体" w:cs="Times New Roman"/>
                <w:color w:val="auto"/>
                <w:sz w:val="24"/>
                <w:szCs w:val="24"/>
                <w:highlight w:val="none"/>
                <w:lang w:val="en-US" w:eastAsia="zh-CN"/>
              </w:rPr>
              <w:t>较</w:t>
            </w:r>
            <w:r>
              <w:rPr>
                <w:rFonts w:hint="default" w:ascii="Times New Roman" w:hAnsi="Times New Roman" w:eastAsia="宋体" w:cs="Times New Roman"/>
                <w:color w:val="auto"/>
                <w:sz w:val="24"/>
                <w:szCs w:val="24"/>
                <w:highlight w:val="none"/>
              </w:rPr>
              <w:t>具有可行性、操作性，培训计划安排</w:t>
            </w:r>
            <w:r>
              <w:rPr>
                <w:rFonts w:hint="default" w:ascii="Times New Roman" w:hAnsi="Times New Roman" w:eastAsia="宋体" w:cs="Times New Roman"/>
                <w:color w:val="auto"/>
                <w:sz w:val="24"/>
                <w:szCs w:val="24"/>
                <w:highlight w:val="none"/>
                <w:lang w:val="en-US" w:eastAsia="zh-CN"/>
              </w:rPr>
              <w:t>较</w:t>
            </w:r>
            <w:r>
              <w:rPr>
                <w:rFonts w:hint="default" w:ascii="Times New Roman" w:hAnsi="Times New Roman" w:eastAsia="宋体" w:cs="Times New Roman"/>
                <w:color w:val="auto"/>
                <w:sz w:val="24"/>
                <w:szCs w:val="24"/>
                <w:highlight w:val="none"/>
              </w:rPr>
              <w:t>合理，得</w:t>
            </w: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分；</w:t>
            </w:r>
          </w:p>
          <w:p w14:paraId="7711D2BA">
            <w:pPr>
              <w:keepNext w:val="0"/>
              <w:keepLines w:val="0"/>
              <w:pageBreakBefore w:val="0"/>
              <w:numPr>
                <w:ilvl w:val="0"/>
                <w:numId w:val="0"/>
              </w:numPr>
              <w:kinsoku/>
              <w:wordWrap/>
              <w:overflowPunct/>
              <w:topLinePunct w:val="0"/>
              <w:autoSpaceDE/>
              <w:autoSpaceDN/>
              <w:bidi w:val="0"/>
              <w:adjustRightInd/>
              <w:snapToGrid/>
              <w:spacing w:line="0" w:lineRule="atLeast"/>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3.有技术培训方案，有一定可行性、操作性，有培训计划安排，得1分；</w:t>
            </w:r>
          </w:p>
          <w:p w14:paraId="24FB9280">
            <w:pPr>
              <w:keepNext w:val="0"/>
              <w:keepLines w:val="0"/>
              <w:pageBreakBefore w:val="0"/>
              <w:numPr>
                <w:ilvl w:val="0"/>
                <w:numId w:val="0"/>
              </w:numPr>
              <w:kinsoku/>
              <w:wordWrap/>
              <w:overflowPunct/>
              <w:topLinePunct w:val="0"/>
              <w:autoSpaceDE/>
              <w:autoSpaceDN/>
              <w:bidi w:val="0"/>
              <w:adjustRightInd/>
              <w:snapToGrid/>
              <w:spacing w:line="0" w:lineRule="atLeast"/>
              <w:ind w:left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rPr>
              <w:t>技术培训方案简略，缺乏可行性，培训计划安排不合理，缺乏针对性，</w:t>
            </w:r>
            <w:r>
              <w:rPr>
                <w:rFonts w:hint="default" w:ascii="Times New Roman" w:hAnsi="Times New Roman" w:eastAsia="宋体" w:cs="Times New Roman"/>
                <w:color w:val="auto"/>
                <w:sz w:val="24"/>
                <w:szCs w:val="24"/>
                <w:highlight w:val="none"/>
                <w:lang w:eastAsia="zh-CN"/>
              </w:rPr>
              <w:t>不得分</w:t>
            </w:r>
            <w:r>
              <w:rPr>
                <w:rFonts w:hint="default" w:ascii="Times New Roman" w:hAnsi="Times New Roman" w:eastAsia="宋体" w:cs="Times New Roman"/>
                <w:color w:val="auto"/>
                <w:sz w:val="24"/>
                <w:szCs w:val="24"/>
                <w:highlight w:val="none"/>
              </w:rPr>
              <w:t>；</w:t>
            </w:r>
          </w:p>
          <w:p w14:paraId="6E061AD6">
            <w:pPr>
              <w:keepNext w:val="0"/>
              <w:keepLines w:val="0"/>
              <w:pageBreakBefore w:val="0"/>
              <w:numPr>
                <w:ilvl w:val="0"/>
                <w:numId w:val="0"/>
              </w:numPr>
              <w:kinsoku/>
              <w:wordWrap/>
              <w:overflowPunct/>
              <w:topLinePunct w:val="0"/>
              <w:autoSpaceDE/>
              <w:autoSpaceDN/>
              <w:bidi w:val="0"/>
              <w:adjustRightInd/>
              <w:snapToGrid/>
              <w:spacing w:line="0" w:lineRule="atLeast"/>
              <w:ind w:leftChars="200"/>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eastAsia="zh-CN"/>
              </w:rPr>
              <w:t>未提供不得分</w:t>
            </w:r>
            <w:r>
              <w:rPr>
                <w:rFonts w:hint="default" w:ascii="Times New Roman" w:hAnsi="Times New Roman" w:eastAsia="宋体" w:cs="Times New Roman"/>
                <w:color w:val="auto"/>
                <w:kern w:val="21"/>
                <w:sz w:val="24"/>
                <w:szCs w:val="24"/>
                <w:highlight w:val="none"/>
              </w:rPr>
              <w:t>。</w:t>
            </w:r>
          </w:p>
        </w:tc>
        <w:tc>
          <w:tcPr>
            <w:tcW w:w="1096" w:type="dxa"/>
            <w:vAlign w:val="center"/>
          </w:tcPr>
          <w:p w14:paraId="681D6473">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val="en-US" w:eastAsia="zh-CN" w:bidi="ar-SA"/>
              </w:rPr>
              <w:t>4</w:t>
            </w:r>
          </w:p>
        </w:tc>
      </w:tr>
      <w:tr w14:paraId="4430B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559" w:type="dxa"/>
            <w:vMerge w:val="restart"/>
            <w:vAlign w:val="center"/>
          </w:tcPr>
          <w:p w14:paraId="5CE23D5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商务（16）</w:t>
            </w:r>
          </w:p>
          <w:p w14:paraId="49D24E82">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p>
          <w:p w14:paraId="74D5952D">
            <w:pPr>
              <w:keepNext w:val="0"/>
              <w:keepLines w:val="0"/>
              <w:pageBreakBefore w:val="0"/>
              <w:kinsoku/>
              <w:wordWrap/>
              <w:overflowPunct/>
              <w:topLinePunct w:val="0"/>
              <w:autoSpaceDE/>
              <w:autoSpaceDN/>
              <w:bidi w:val="0"/>
              <w:adjustRightInd/>
              <w:snapToGrid/>
              <w:spacing w:line="0" w:lineRule="atLeast"/>
              <w:ind w:firstLine="240" w:firstLineChars="100"/>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6D8B1DB6">
            <w:pPr>
              <w:keepNext w:val="0"/>
              <w:keepLines w:val="0"/>
              <w:pageBreakBefore w:val="0"/>
              <w:widowControl/>
              <w:kinsoku/>
              <w:wordWrap/>
              <w:overflowPunct/>
              <w:topLinePunct w:val="0"/>
              <w:autoSpaceDE/>
              <w:autoSpaceDN/>
              <w:bidi w:val="0"/>
              <w:adjustRightInd/>
              <w:snapToGrid/>
              <w:spacing w:line="0" w:lineRule="atLeast"/>
              <w:jc w:val="both"/>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同类业绩</w:t>
            </w:r>
          </w:p>
        </w:tc>
        <w:tc>
          <w:tcPr>
            <w:tcW w:w="5594" w:type="dxa"/>
            <w:vAlign w:val="center"/>
          </w:tcPr>
          <w:p w14:paraId="708011F9">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rPr>
              <w:t>投标人202</w:t>
            </w:r>
            <w:r>
              <w:rPr>
                <w:rFonts w:hint="default" w:ascii="Times New Roman" w:hAnsi="Times New Roman" w:eastAsia="宋体" w:cs="Times New Roman"/>
                <w:color w:val="auto"/>
                <w:kern w:val="21"/>
                <w:sz w:val="24"/>
                <w:szCs w:val="24"/>
                <w:highlight w:val="none"/>
                <w:lang w:val="en-US" w:eastAsia="zh-CN"/>
              </w:rPr>
              <w:t>3</w:t>
            </w:r>
            <w:r>
              <w:rPr>
                <w:rFonts w:hint="default" w:ascii="Times New Roman" w:hAnsi="Times New Roman" w:eastAsia="宋体" w:cs="Times New Roman"/>
                <w:color w:val="auto"/>
                <w:kern w:val="21"/>
                <w:sz w:val="24"/>
                <w:szCs w:val="24"/>
                <w:highlight w:val="none"/>
              </w:rPr>
              <w:t>年至今（以合同签订日期为准）承担过</w:t>
            </w:r>
            <w:r>
              <w:rPr>
                <w:rFonts w:hint="default" w:ascii="Times New Roman" w:hAnsi="Times New Roman" w:eastAsia="宋体" w:cs="Times New Roman"/>
                <w:color w:val="auto"/>
                <w:kern w:val="21"/>
                <w:sz w:val="24"/>
                <w:szCs w:val="24"/>
                <w:highlight w:val="none"/>
                <w:lang w:eastAsia="zh-CN"/>
              </w:rPr>
              <w:t>同类型业务系统</w:t>
            </w:r>
            <w:r>
              <w:rPr>
                <w:rFonts w:hint="default" w:ascii="Times New Roman" w:hAnsi="Times New Roman" w:eastAsia="宋体" w:cs="Times New Roman"/>
                <w:color w:val="auto"/>
                <w:kern w:val="21"/>
                <w:sz w:val="24"/>
                <w:szCs w:val="24"/>
                <w:highlight w:val="none"/>
              </w:rPr>
              <w:t>项目业绩的，每项得</w:t>
            </w:r>
            <w:r>
              <w:rPr>
                <w:rFonts w:hint="default" w:ascii="Times New Roman" w:hAnsi="Times New Roman" w:eastAsia="宋体" w:cs="Times New Roman"/>
                <w:color w:val="auto"/>
                <w:kern w:val="21"/>
                <w:sz w:val="24"/>
                <w:szCs w:val="24"/>
                <w:highlight w:val="none"/>
                <w:lang w:val="en-US" w:eastAsia="zh-CN"/>
              </w:rPr>
              <w:t>2</w:t>
            </w:r>
            <w:r>
              <w:rPr>
                <w:rFonts w:hint="default" w:ascii="Times New Roman" w:hAnsi="Times New Roman" w:eastAsia="宋体" w:cs="Times New Roman"/>
                <w:color w:val="auto"/>
                <w:kern w:val="21"/>
                <w:sz w:val="24"/>
                <w:szCs w:val="24"/>
                <w:highlight w:val="none"/>
              </w:rPr>
              <w:t>分，本项最高得</w:t>
            </w:r>
            <w:r>
              <w:rPr>
                <w:rFonts w:hint="default" w:ascii="Times New Roman" w:hAnsi="Times New Roman" w:eastAsia="宋体" w:cs="Times New Roman"/>
                <w:color w:val="auto"/>
                <w:kern w:val="21"/>
                <w:sz w:val="24"/>
                <w:szCs w:val="24"/>
                <w:highlight w:val="none"/>
                <w:lang w:val="en-US" w:eastAsia="zh-CN"/>
              </w:rPr>
              <w:t>6</w:t>
            </w:r>
            <w:r>
              <w:rPr>
                <w:rFonts w:hint="default" w:ascii="Times New Roman" w:hAnsi="Times New Roman" w:eastAsia="宋体" w:cs="Times New Roman"/>
                <w:color w:val="auto"/>
                <w:kern w:val="21"/>
                <w:sz w:val="24"/>
                <w:szCs w:val="24"/>
                <w:highlight w:val="none"/>
              </w:rPr>
              <w:t>分。</w:t>
            </w:r>
          </w:p>
          <w:p w14:paraId="6D66B2D4">
            <w:pPr>
              <w:keepNext w:val="0"/>
              <w:keepLines w:val="0"/>
              <w:pageBreakBefore w:val="0"/>
              <w:kinsoku/>
              <w:wordWrap/>
              <w:overflowPunct/>
              <w:topLinePunct w:val="0"/>
              <w:autoSpaceDE/>
              <w:autoSpaceDN/>
              <w:bidi w:val="0"/>
              <w:adjustRightInd/>
              <w:snapToGrid/>
              <w:spacing w:line="0" w:lineRule="atLeast"/>
              <w:ind w:firstLine="480" w:firstLineChars="200"/>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rPr>
              <w:t>须提供中标通知书或合同关键页复印件并加盖投标人公章，</w:t>
            </w:r>
            <w:r>
              <w:rPr>
                <w:rFonts w:hint="default" w:ascii="Times New Roman" w:hAnsi="Times New Roman" w:eastAsia="宋体" w:cs="Times New Roman"/>
                <w:color w:val="auto"/>
                <w:kern w:val="21"/>
                <w:sz w:val="24"/>
                <w:szCs w:val="24"/>
                <w:highlight w:val="none"/>
                <w:lang w:eastAsia="zh-CN"/>
              </w:rPr>
              <w:t>未提供不得分</w:t>
            </w:r>
            <w:r>
              <w:rPr>
                <w:rFonts w:hint="default" w:ascii="Times New Roman" w:hAnsi="Times New Roman" w:eastAsia="宋体" w:cs="Times New Roman"/>
                <w:color w:val="auto"/>
                <w:kern w:val="21"/>
                <w:sz w:val="24"/>
                <w:szCs w:val="24"/>
                <w:highlight w:val="none"/>
              </w:rPr>
              <w:t>。</w:t>
            </w:r>
          </w:p>
        </w:tc>
        <w:tc>
          <w:tcPr>
            <w:tcW w:w="1096" w:type="dxa"/>
            <w:vAlign w:val="center"/>
          </w:tcPr>
          <w:p w14:paraId="3E9C028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kern w:val="21"/>
                <w:sz w:val="24"/>
                <w:szCs w:val="24"/>
                <w:highlight w:val="none"/>
                <w:lang w:val="en-US" w:eastAsia="zh-CN"/>
              </w:rPr>
              <w:t>6</w:t>
            </w:r>
          </w:p>
        </w:tc>
      </w:tr>
      <w:tr w14:paraId="3415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59" w:type="dxa"/>
            <w:vMerge w:val="continue"/>
            <w:vAlign w:val="center"/>
          </w:tcPr>
          <w:p w14:paraId="00D218DB">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7C232D3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0"/>
                <w:sz w:val="24"/>
                <w:szCs w:val="24"/>
                <w:highlight w:val="none"/>
                <w:lang w:bidi="ar"/>
              </w:rPr>
            </w:pPr>
            <w:r>
              <w:rPr>
                <w:rFonts w:hint="default" w:ascii="Times New Roman" w:hAnsi="Times New Roman" w:eastAsia="宋体" w:cs="Times New Roman"/>
                <w:color w:val="auto"/>
                <w:sz w:val="24"/>
                <w:szCs w:val="24"/>
                <w:highlight w:val="none"/>
                <w:lang w:val="en-US" w:eastAsia="zh-CN"/>
              </w:rPr>
              <w:t>项目团队成员</w:t>
            </w:r>
            <w:r>
              <w:rPr>
                <w:rFonts w:hint="default" w:ascii="Times New Roman" w:hAnsi="Times New Roman" w:eastAsia="宋体" w:cs="Times New Roman"/>
                <w:color w:val="auto"/>
                <w:sz w:val="24"/>
                <w:szCs w:val="24"/>
                <w:highlight w:val="none"/>
              </w:rPr>
              <w:t xml:space="preserve"> </w:t>
            </w:r>
          </w:p>
        </w:tc>
        <w:tc>
          <w:tcPr>
            <w:tcW w:w="5594" w:type="dxa"/>
            <w:vAlign w:val="top"/>
          </w:tcPr>
          <w:p w14:paraId="76C13722">
            <w:pPr>
              <w:keepNext w:val="0"/>
              <w:keepLines w:val="0"/>
              <w:pageBreakBefore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val="en-US" w:eastAsia="zh-CN"/>
              </w:rPr>
              <w:t xml:space="preserve">配备项目专属团队成员≥2名，至少包括一名项目经理及一名技术运维负责人，提供成员本科及以上学历证书。注：需提供项目团队成员在投标人服务的外部证明材料，如投标截止日之前六个月内任意月份的参加社会保险的《投保单》或《社会保险参保人员证明》等；满足得2分，无提供社保证明扫描件不得分。 </w:t>
            </w:r>
          </w:p>
        </w:tc>
        <w:tc>
          <w:tcPr>
            <w:tcW w:w="1096" w:type="dxa"/>
            <w:vAlign w:val="center"/>
          </w:tcPr>
          <w:p w14:paraId="55B7E227">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bidi="ar-SA"/>
              </w:rPr>
              <w:t>2</w:t>
            </w:r>
          </w:p>
        </w:tc>
      </w:tr>
      <w:tr w14:paraId="3CA27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559" w:type="dxa"/>
            <w:vMerge w:val="continue"/>
            <w:vAlign w:val="center"/>
          </w:tcPr>
          <w:p w14:paraId="6B18FB75">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567E814C">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项目经理</w:t>
            </w:r>
          </w:p>
        </w:tc>
        <w:tc>
          <w:tcPr>
            <w:tcW w:w="5594" w:type="dxa"/>
            <w:vAlign w:val="top"/>
          </w:tcPr>
          <w:p w14:paraId="679DB762">
            <w:pPr>
              <w:keepNext w:val="0"/>
              <w:keepLines w:val="0"/>
              <w:pageBreakBefore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投标人针对本项目拟派遣的项目经理</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1名</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具备以下证书： 1、高级网络信息安全工程师；2、高级信息系统项目管理师；3、高级软件工程师；满足3项得3分，满足2项得2分，满足1项得1分，不满足不得分。</w:t>
            </w:r>
          </w:p>
        </w:tc>
        <w:tc>
          <w:tcPr>
            <w:tcW w:w="1096" w:type="dxa"/>
            <w:vAlign w:val="center"/>
          </w:tcPr>
          <w:p w14:paraId="4FFA6A4A">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val="en-US" w:eastAsia="zh-CN" w:bidi="ar-SA"/>
              </w:rPr>
              <w:t>3</w:t>
            </w:r>
          </w:p>
        </w:tc>
      </w:tr>
      <w:tr w14:paraId="5787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559" w:type="dxa"/>
            <w:vMerge w:val="continue"/>
            <w:vAlign w:val="center"/>
          </w:tcPr>
          <w:p w14:paraId="77F9B756">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23CD6FC3">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项目技术负责人</w:t>
            </w:r>
          </w:p>
        </w:tc>
        <w:tc>
          <w:tcPr>
            <w:tcW w:w="5594" w:type="dxa"/>
            <w:vAlign w:val="top"/>
          </w:tcPr>
          <w:p w14:paraId="52F74AD0">
            <w:pPr>
              <w:keepNext w:val="0"/>
              <w:keepLines w:val="0"/>
              <w:pageBreakBefore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投标人针对本项目拟派遣的项目技术负责人</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1名</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具备以下证书：1、高级网络工程师；2、高级网络安全架构师；3、高级云计算技术证书；满足3项得3分，满足2项得2分，满足1项得1分，不满足不得分。</w:t>
            </w:r>
          </w:p>
        </w:tc>
        <w:tc>
          <w:tcPr>
            <w:tcW w:w="1096" w:type="dxa"/>
            <w:vAlign w:val="center"/>
          </w:tcPr>
          <w:p w14:paraId="037874C2">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val="en-US" w:eastAsia="zh-CN" w:bidi="ar-SA"/>
              </w:rPr>
              <w:t>3</w:t>
            </w:r>
          </w:p>
        </w:tc>
      </w:tr>
      <w:tr w14:paraId="06D7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59" w:type="dxa"/>
            <w:vMerge w:val="continue"/>
            <w:vAlign w:val="center"/>
          </w:tcPr>
          <w:p w14:paraId="378191B7">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p>
        </w:tc>
        <w:tc>
          <w:tcPr>
            <w:tcW w:w="631" w:type="dxa"/>
            <w:vAlign w:val="center"/>
          </w:tcPr>
          <w:p w14:paraId="5BDD6671">
            <w:pPr>
              <w:keepNext w:val="0"/>
              <w:keepLines w:val="0"/>
              <w:pageBreakBefore w:val="0"/>
              <w:widowControl/>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云服务相关资质</w:t>
            </w:r>
          </w:p>
        </w:tc>
        <w:tc>
          <w:tcPr>
            <w:tcW w:w="5594" w:type="dxa"/>
            <w:vAlign w:val="top"/>
          </w:tcPr>
          <w:p w14:paraId="1A88C422">
            <w:pPr>
              <w:keepNext w:val="0"/>
              <w:keepLines w:val="0"/>
              <w:pageBreakBefore w:val="0"/>
              <w:kinsoku/>
              <w:wordWrap/>
              <w:overflowPunct/>
              <w:topLinePunct w:val="0"/>
              <w:autoSpaceDE/>
              <w:autoSpaceDN/>
              <w:bidi w:val="0"/>
              <w:adjustRightInd/>
              <w:snapToGrid/>
              <w:spacing w:line="0" w:lineRule="atLeas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提供相关资质证书（2分），有ITSS信息技术服务标准认证公有云</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二级</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，信息系统安全等级保护备案证明三级或以上，每提供一个得1分，最高2分。</w:t>
            </w:r>
          </w:p>
        </w:tc>
        <w:tc>
          <w:tcPr>
            <w:tcW w:w="1096" w:type="dxa"/>
            <w:vAlign w:val="center"/>
          </w:tcPr>
          <w:p w14:paraId="5D4B2952">
            <w:pPr>
              <w:keepNext w:val="0"/>
              <w:keepLines w:val="0"/>
              <w:pageBreakBefore w:val="0"/>
              <w:kinsoku/>
              <w:wordWrap/>
              <w:overflowPunct/>
              <w:topLinePunct w:val="0"/>
              <w:autoSpaceDE/>
              <w:autoSpaceDN/>
              <w:bidi w:val="0"/>
              <w:adjustRightInd/>
              <w:snapToGrid/>
              <w:spacing w:line="0" w:lineRule="atLeast"/>
              <w:jc w:val="center"/>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color w:val="auto"/>
                <w:kern w:val="21"/>
                <w:sz w:val="24"/>
                <w:szCs w:val="24"/>
                <w:highlight w:val="none"/>
                <w:lang w:val="en-US" w:eastAsia="zh-CN" w:bidi="ar-SA"/>
              </w:rPr>
              <w:t>2</w:t>
            </w:r>
          </w:p>
        </w:tc>
      </w:tr>
      <w:tr w14:paraId="24C3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559" w:type="dxa"/>
            <w:vAlign w:val="center"/>
          </w:tcPr>
          <w:p w14:paraId="4BD7D5CC">
            <w:pPr>
              <w:keepNext w:val="0"/>
              <w:keepLines w:val="0"/>
              <w:pageBreakBefore w:val="0"/>
              <w:kinsoku/>
              <w:wordWrap/>
              <w:overflowPunct/>
              <w:topLinePunct w:val="0"/>
              <w:autoSpaceDE/>
              <w:autoSpaceDN/>
              <w:bidi w:val="0"/>
              <w:adjustRightInd/>
              <w:snapToGrid/>
              <w:spacing w:line="0" w:lineRule="atLeast"/>
              <w:ind w:left="0" w:leftChars="0" w:firstLine="0" w:firstLineChars="0"/>
              <w:jc w:val="center"/>
              <w:textAlignment w:val="auto"/>
              <w:rPr>
                <w:rFonts w:hint="default" w:ascii="Times New Roman" w:hAnsi="Times New Roman" w:eastAsia="宋体" w:cs="Times New Roman"/>
                <w:color w:val="auto"/>
                <w:kern w:val="21"/>
                <w:sz w:val="24"/>
                <w:szCs w:val="24"/>
                <w:highlight w:val="none"/>
                <w:lang w:val="en-US" w:eastAsia="zh-CN" w:bidi="ar-SA"/>
              </w:rPr>
            </w:pPr>
            <w:r>
              <w:rPr>
                <w:rFonts w:hint="default" w:ascii="Times New Roman" w:hAnsi="Times New Roman" w:eastAsia="宋体" w:cs="Times New Roman"/>
                <w:bCs/>
                <w:color w:val="auto"/>
                <w:kern w:val="0"/>
                <w:sz w:val="24"/>
                <w:szCs w:val="21"/>
                <w:highlight w:val="none"/>
              </w:rPr>
              <w:t>投标报价</w:t>
            </w:r>
            <w:r>
              <w:rPr>
                <w:rFonts w:hint="default" w:ascii="Times New Roman" w:hAnsi="Times New Roman" w:eastAsia="宋体" w:cs="Times New Roman"/>
                <w:bCs/>
                <w:color w:val="auto"/>
                <w:kern w:val="0"/>
                <w:sz w:val="24"/>
                <w:szCs w:val="21"/>
                <w:highlight w:val="none"/>
                <w:lang w:eastAsia="zh-CN"/>
              </w:rPr>
              <w:t>（</w:t>
            </w:r>
            <w:r>
              <w:rPr>
                <w:rFonts w:hint="default" w:ascii="Times New Roman" w:hAnsi="Times New Roman" w:eastAsia="宋体" w:cs="Times New Roman"/>
                <w:bCs/>
                <w:color w:val="auto"/>
                <w:kern w:val="0"/>
                <w:sz w:val="24"/>
                <w:szCs w:val="21"/>
                <w:highlight w:val="none"/>
                <w:lang w:val="en-US" w:eastAsia="zh-CN"/>
              </w:rPr>
              <w:t>30</w:t>
            </w:r>
            <w:r>
              <w:rPr>
                <w:rFonts w:hint="default" w:ascii="Times New Roman" w:hAnsi="Times New Roman" w:eastAsia="宋体" w:cs="Times New Roman"/>
                <w:bCs/>
                <w:color w:val="auto"/>
                <w:kern w:val="0"/>
                <w:sz w:val="24"/>
                <w:szCs w:val="21"/>
                <w:highlight w:val="none"/>
                <w:lang w:eastAsia="zh-CN"/>
              </w:rPr>
              <w:t>）</w:t>
            </w:r>
          </w:p>
        </w:tc>
        <w:tc>
          <w:tcPr>
            <w:tcW w:w="631" w:type="dxa"/>
            <w:vAlign w:val="center"/>
          </w:tcPr>
          <w:p w14:paraId="105A9ABA">
            <w:pPr>
              <w:keepNext w:val="0"/>
              <w:keepLines w:val="0"/>
              <w:pageBreakBefore w:val="0"/>
              <w:kinsoku/>
              <w:wordWrap/>
              <w:overflowPunct/>
              <w:topLinePunct w:val="0"/>
              <w:autoSpaceDE/>
              <w:autoSpaceDN/>
              <w:bidi w:val="0"/>
              <w:adjustRightInd/>
              <w:snapToGrid/>
              <w:spacing w:line="0" w:lineRule="atLeast"/>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bCs/>
                <w:color w:val="auto"/>
                <w:kern w:val="0"/>
                <w:sz w:val="24"/>
                <w:szCs w:val="21"/>
                <w:highlight w:val="none"/>
              </w:rPr>
              <w:t>投标报价</w:t>
            </w:r>
          </w:p>
        </w:tc>
        <w:tc>
          <w:tcPr>
            <w:tcW w:w="5594" w:type="dxa"/>
            <w:vAlign w:val="center"/>
          </w:tcPr>
          <w:p w14:paraId="7A3D6A50">
            <w:pPr>
              <w:keepNext w:val="0"/>
              <w:keepLines w:val="0"/>
              <w:pageBreakBefore w:val="0"/>
              <w:numPr>
                <w:ilvl w:val="0"/>
                <w:numId w:val="0"/>
              </w:numPr>
              <w:kinsoku/>
              <w:wordWrap/>
              <w:overflowPunct/>
              <w:topLinePunct w:val="0"/>
              <w:autoSpaceDE/>
              <w:autoSpaceDN/>
              <w:bidi w:val="0"/>
              <w:adjustRightInd/>
              <w:snapToGrid/>
              <w:spacing w:line="0" w:lineRule="atLeast"/>
              <w:ind w:leftChars="0" w:firstLine="480" w:firstLineChars="200"/>
              <w:jc w:val="left"/>
              <w:textAlignment w:val="auto"/>
              <w:rPr>
                <w:rFonts w:hint="default" w:ascii="Times New Roman" w:hAnsi="Times New Roman" w:eastAsia="宋体" w:cs="Times New Roman"/>
                <w:color w:val="auto"/>
                <w:kern w:val="21"/>
                <w:sz w:val="24"/>
                <w:szCs w:val="24"/>
                <w:highlight w:val="none"/>
              </w:rPr>
            </w:pPr>
            <w:r>
              <w:rPr>
                <w:rFonts w:hint="default" w:ascii="Times New Roman" w:hAnsi="Times New Roman" w:eastAsia="宋体" w:cs="Times New Roman"/>
                <w:color w:val="auto"/>
                <w:sz w:val="24"/>
                <w:szCs w:val="24"/>
                <w:highlight w:val="none"/>
                <w:lang w:val="en-US" w:eastAsia="zh-CN"/>
              </w:rPr>
              <w:t>投标报价得分＝（评标基准价/投标报价）×30【注：满足招标文件要求且投标价格最低的投标报价为评标基准价</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最低报价不是中标的唯一依据。因落实政府采购政策进行价格调整的，以调整后的价格计算评标基准价和投标报价。（对获得节能产品认证证书或环境标志产品认证证书的产品给予1%的价</w:t>
            </w:r>
            <w:r>
              <w:rPr>
                <w:rFonts w:hint="default" w:ascii="Times New Roman" w:hAnsi="Times New Roman" w:eastAsia="宋体" w:cs="Times New Roman"/>
                <w:color w:val="auto"/>
                <w:sz w:val="24"/>
                <w:szCs w:val="24"/>
                <w:highlight w:val="none"/>
              </w:rPr>
              <w:t>格扣除，具体扣除比例根据节能产品或环境标志产品在采购项目中的重要性、所占比重等因素确定。</w:t>
            </w:r>
            <w:r>
              <w:rPr>
                <w:rFonts w:hint="default" w:ascii="Times New Roman" w:hAnsi="Times New Roman" w:eastAsia="宋体" w:cs="Times New Roman"/>
                <w:color w:val="auto"/>
                <w:sz w:val="24"/>
                <w:szCs w:val="24"/>
                <w:highlight w:val="none"/>
                <w:lang w:eastAsia="zh-CN"/>
              </w:rPr>
              <w:t>）</w:t>
            </w:r>
          </w:p>
        </w:tc>
        <w:tc>
          <w:tcPr>
            <w:tcW w:w="1096" w:type="dxa"/>
            <w:vAlign w:val="center"/>
          </w:tcPr>
          <w:p w14:paraId="67CAC059">
            <w:pPr>
              <w:keepNext w:val="0"/>
              <w:keepLines w:val="0"/>
              <w:pageBreakBefore w:val="0"/>
              <w:numPr>
                <w:ilvl w:val="0"/>
                <w:numId w:val="0"/>
              </w:numPr>
              <w:kinsoku/>
              <w:wordWrap/>
              <w:overflowPunct/>
              <w:topLinePunct w:val="0"/>
              <w:autoSpaceDE/>
              <w:autoSpaceDN/>
              <w:bidi w:val="0"/>
              <w:adjustRightInd/>
              <w:snapToGrid/>
              <w:spacing w:line="0" w:lineRule="atLeast"/>
              <w:ind w:leftChars="0"/>
              <w:jc w:val="center"/>
              <w:textAlignment w:val="auto"/>
              <w:rPr>
                <w:rFonts w:hint="default" w:ascii="Times New Roman" w:hAnsi="Times New Roman" w:eastAsia="宋体" w:cs="Times New Roman"/>
                <w:color w:val="auto"/>
                <w:kern w:val="21"/>
                <w:sz w:val="24"/>
                <w:szCs w:val="24"/>
                <w:highlight w:val="none"/>
                <w:lang w:val="en-US" w:eastAsia="zh-CN"/>
              </w:rPr>
            </w:pPr>
            <w:r>
              <w:rPr>
                <w:rFonts w:hint="default" w:ascii="Times New Roman" w:hAnsi="Times New Roman" w:eastAsia="宋体" w:cs="Times New Roman"/>
                <w:color w:val="auto"/>
                <w:kern w:val="21"/>
                <w:sz w:val="24"/>
                <w:szCs w:val="24"/>
                <w:highlight w:val="none"/>
                <w:lang w:val="en-US" w:eastAsia="zh-CN"/>
              </w:rPr>
              <w:t>30</w:t>
            </w:r>
          </w:p>
        </w:tc>
      </w:tr>
    </w:tbl>
    <w:p w14:paraId="4740E1F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A474E3"/>
    <w:rsid w:val="0FA47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unhideWhenUsed/>
    <w:qFormat/>
    <w:uiPriority w:val="99"/>
    <w:pPr>
      <w:widowControl w:val="0"/>
      <w:spacing w:after="120"/>
      <w:jc w:val="both"/>
    </w:pPr>
    <w:rPr>
      <w:rFonts w:ascii="等线" w:hAnsi="等线" w:eastAsia="等线" w:cs="Times New Roman"/>
      <w:kern w:val="2"/>
      <w:sz w:val="21"/>
      <w:szCs w:val="22"/>
      <w:lang w:val="en-US" w:eastAsia="zh-CN" w:bidi="ar-SA"/>
    </w:rPr>
  </w:style>
  <w:style w:type="paragraph" w:styleId="3">
    <w:name w:val="Body Text First Indent"/>
    <w:next w:val="4"/>
    <w:unhideWhenUsed/>
    <w:qFormat/>
    <w:uiPriority w:val="99"/>
    <w:pPr>
      <w:widowControl w:val="0"/>
      <w:spacing w:after="120"/>
      <w:ind w:firstLine="420" w:firstLineChars="100"/>
      <w:jc w:val="both"/>
    </w:pPr>
    <w:rPr>
      <w:rFonts w:ascii="等线" w:hAnsi="等线" w:eastAsia="等线" w:cs="Times New Roman"/>
      <w:kern w:val="2"/>
      <w:sz w:val="21"/>
      <w:szCs w:val="22"/>
      <w:lang w:val="en-US" w:eastAsia="zh-CN" w:bidi="ar-SA"/>
    </w:rPr>
  </w:style>
  <w:style w:type="paragraph" w:customStyle="1" w:styleId="4">
    <w:name w:val="样式 正文首行缩进 + 首行缩进:  1 字符"/>
    <w:next w:val="1"/>
    <w:qFormat/>
    <w:uiPriority w:val="0"/>
    <w:pPr>
      <w:widowControl w:val="0"/>
      <w:spacing w:line="360" w:lineRule="auto"/>
      <w:ind w:firstLine="200" w:firstLineChars="200"/>
      <w:jc w:val="both"/>
    </w:pPr>
    <w:rPr>
      <w:rFonts w:ascii="等线" w:hAnsi="等线" w:eastAsia="等线" w:cs="宋体"/>
      <w:kern w:val="2"/>
      <w:sz w:val="24"/>
      <w:szCs w:val="20"/>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2025-11-19T06:41:00Z</dcterms:created>
  <dc:creator>卑微小虎崽</dc:creator>
  <cp:lastModifiedBy>卑微小虎崽</cp:lastModifiedBy>
  <dcterms:modified xsi:type="dcterms:W3CDTF">2025-11-19T06:43:23Z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BD0DBEE25BBA4CE5AE5214FDCF219619_11</vt:lpwstr>
  </property>
  <property fmtid="{D5CDD505-2E9C-101B-9397-08002B2CF9AE}" pid="4" name="KSOTemplateDocerSaveRecord">
    <vt:lpwstr>eyJoZGlkIjoiYzZkNzQ4ZWFiZmQ4NTRhOWRkZTk3YTMwMjlmMmZhYmUiLCJ1c2VySWQiOiIxMzQ0MTYwMDk1In0=</vt:lpwstr>
  </property>
</Properties>
</file>