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2DB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auto"/>
          <w:lang w:val="en-US" w:eastAsia="zh-CN"/>
        </w:rPr>
        <w:t>附件：</w:t>
      </w:r>
    </w:p>
    <w:p w14:paraId="551DCE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w w:val="9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w w:val="96"/>
          <w:kern w:val="0"/>
          <w:sz w:val="32"/>
          <w:szCs w:val="32"/>
          <w:lang w:val="en-US" w:eastAsia="zh-CN"/>
        </w:rPr>
        <w:t>广东省第一荣军优抚医院速运服务评价表</w:t>
      </w:r>
    </w:p>
    <w:p w14:paraId="06050B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left"/>
        <w:textAlignment w:val="baseline"/>
        <w:rPr>
          <w:rFonts w:hint="default" w:ascii="Arial" w:hAnsi="Arial" w:eastAsia="宋体" w:cs="宋体"/>
          <w:snapToGrid w:val="0"/>
          <w:color w:val="000000"/>
          <w:spacing w:val="0"/>
          <w:w w:val="96"/>
          <w:kern w:val="0"/>
          <w:sz w:val="28"/>
          <w:szCs w:val="36"/>
          <w:lang w:val="en-US" w:eastAsia="zh-CN"/>
        </w:rPr>
      </w:pPr>
      <w:r>
        <w:rPr>
          <w:rFonts w:hint="eastAsia" w:ascii="Arial" w:hAnsi="Arial" w:eastAsia="宋体" w:cs="宋体"/>
          <w:snapToGrid w:val="0"/>
          <w:color w:val="000000"/>
          <w:spacing w:val="0"/>
          <w:w w:val="96"/>
          <w:kern w:val="0"/>
          <w:sz w:val="28"/>
          <w:szCs w:val="36"/>
          <w:lang w:val="en-US" w:eastAsia="zh-CN"/>
        </w:rPr>
        <w:t>填表科室：                                                                         时间：</w:t>
      </w:r>
    </w:p>
    <w:tbl>
      <w:tblPr>
        <w:tblStyle w:val="4"/>
        <w:tblW w:w="9750" w:type="dxa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812"/>
        <w:gridCol w:w="960"/>
        <w:gridCol w:w="840"/>
        <w:gridCol w:w="1875"/>
      </w:tblGrid>
      <w:tr w14:paraId="78E96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263" w:type="dxa"/>
            <w:vAlign w:val="center"/>
          </w:tcPr>
          <w:p w14:paraId="5D18F3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0"/>
                <w:w w:val="96"/>
                <w:kern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0"/>
                <w:w w:val="96"/>
                <w:kern w:val="0"/>
                <w:sz w:val="28"/>
                <w:szCs w:val="36"/>
                <w:vertAlign w:val="baseline"/>
                <w:lang w:val="en-US" w:eastAsia="zh-CN"/>
              </w:rPr>
              <w:t>评价维度</w:t>
            </w:r>
          </w:p>
        </w:tc>
        <w:tc>
          <w:tcPr>
            <w:tcW w:w="3812" w:type="dxa"/>
            <w:vAlign w:val="center"/>
          </w:tcPr>
          <w:p w14:paraId="34067F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0"/>
                <w:w w:val="96"/>
                <w:kern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0"/>
                <w:w w:val="96"/>
                <w:kern w:val="0"/>
                <w:sz w:val="28"/>
                <w:szCs w:val="36"/>
                <w:vertAlign w:val="baseline"/>
                <w:lang w:val="en-US" w:eastAsia="zh-CN"/>
              </w:rPr>
              <w:t>评价指标</w:t>
            </w:r>
          </w:p>
        </w:tc>
        <w:tc>
          <w:tcPr>
            <w:tcW w:w="960" w:type="dxa"/>
            <w:vAlign w:val="center"/>
          </w:tcPr>
          <w:p w14:paraId="6F0304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0"/>
                <w:w w:val="96"/>
                <w:kern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0"/>
                <w:w w:val="96"/>
                <w:kern w:val="0"/>
                <w:sz w:val="28"/>
                <w:szCs w:val="36"/>
                <w:vertAlign w:val="baseline"/>
                <w:lang w:val="en-US" w:eastAsia="zh-CN"/>
              </w:rPr>
              <w:t>分值</w:t>
            </w:r>
          </w:p>
        </w:tc>
        <w:tc>
          <w:tcPr>
            <w:tcW w:w="840" w:type="dxa"/>
            <w:vAlign w:val="center"/>
          </w:tcPr>
          <w:p w14:paraId="39A530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0"/>
                <w:w w:val="96"/>
                <w:kern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0"/>
                <w:w w:val="96"/>
                <w:kern w:val="0"/>
                <w:sz w:val="28"/>
                <w:szCs w:val="36"/>
                <w:vertAlign w:val="baseline"/>
                <w:lang w:val="en-US" w:eastAsia="zh-CN"/>
              </w:rPr>
              <w:t>评分</w:t>
            </w:r>
          </w:p>
        </w:tc>
        <w:tc>
          <w:tcPr>
            <w:tcW w:w="1875" w:type="dxa"/>
            <w:vAlign w:val="center"/>
          </w:tcPr>
          <w:p w14:paraId="72E057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0"/>
                <w:w w:val="96"/>
                <w:kern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0"/>
                <w:w w:val="96"/>
                <w:kern w:val="0"/>
                <w:sz w:val="28"/>
                <w:szCs w:val="36"/>
                <w:vertAlign w:val="baseline"/>
                <w:lang w:val="en-US" w:eastAsia="zh-CN"/>
              </w:rPr>
              <w:t>扣分说明</w:t>
            </w:r>
          </w:p>
        </w:tc>
      </w:tr>
      <w:tr w14:paraId="046F5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restart"/>
            <w:vAlign w:val="center"/>
          </w:tcPr>
          <w:p w14:paraId="574102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  <w:t>时效保障（30分）</w:t>
            </w:r>
          </w:p>
        </w:tc>
        <w:tc>
          <w:tcPr>
            <w:tcW w:w="3812" w:type="dxa"/>
          </w:tcPr>
          <w:p w14:paraId="2CD2218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eastAsia="en-US"/>
              </w:rPr>
              <w:t>日常物资运输按约定时效送达</w:t>
            </w:r>
          </w:p>
        </w:tc>
        <w:tc>
          <w:tcPr>
            <w:tcW w:w="960" w:type="dxa"/>
            <w:vAlign w:val="center"/>
          </w:tcPr>
          <w:p w14:paraId="1A0DAC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  <w:t>15分</w:t>
            </w:r>
          </w:p>
        </w:tc>
        <w:tc>
          <w:tcPr>
            <w:tcW w:w="840" w:type="dxa"/>
          </w:tcPr>
          <w:p w14:paraId="5161C95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875" w:type="dxa"/>
          </w:tcPr>
          <w:p w14:paraId="0058E8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</w:tr>
      <w:tr w14:paraId="6E147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263" w:type="dxa"/>
            <w:vMerge w:val="continue"/>
          </w:tcPr>
          <w:p w14:paraId="0E4823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3812" w:type="dxa"/>
          </w:tcPr>
          <w:p w14:paraId="6455D8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eastAsia="en-US"/>
              </w:rPr>
              <w:t>紧急物资（如急救药品、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val="en-US" w:eastAsia="zh-CN"/>
              </w:rPr>
              <w:t>特殊药品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eastAsia="en-US"/>
              </w:rPr>
              <w:t>）优先配送</w:t>
            </w:r>
          </w:p>
        </w:tc>
        <w:tc>
          <w:tcPr>
            <w:tcW w:w="960" w:type="dxa"/>
            <w:vAlign w:val="center"/>
          </w:tcPr>
          <w:p w14:paraId="31E50D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  <w:t>15分</w:t>
            </w:r>
          </w:p>
        </w:tc>
        <w:tc>
          <w:tcPr>
            <w:tcW w:w="840" w:type="dxa"/>
          </w:tcPr>
          <w:p w14:paraId="6B49F4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875" w:type="dxa"/>
          </w:tcPr>
          <w:p w14:paraId="534D7B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</w:tr>
      <w:tr w14:paraId="5E04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263" w:type="dxa"/>
            <w:vMerge w:val="restart"/>
            <w:vAlign w:val="center"/>
          </w:tcPr>
          <w:p w14:paraId="77FDF1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  <w:t>安全规范（30分）</w:t>
            </w:r>
          </w:p>
        </w:tc>
        <w:tc>
          <w:tcPr>
            <w:tcW w:w="3812" w:type="dxa"/>
          </w:tcPr>
          <w:p w14:paraId="3C2657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eastAsia="en-US"/>
              </w:rPr>
              <w:t>运输过程中物资完好率（无破损、丢失、污染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eastAsia="zh-CN"/>
              </w:rPr>
              <w:t>）</w:t>
            </w:r>
          </w:p>
        </w:tc>
        <w:tc>
          <w:tcPr>
            <w:tcW w:w="960" w:type="dxa"/>
            <w:vAlign w:val="center"/>
          </w:tcPr>
          <w:p w14:paraId="7F992F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  <w:t>10分</w:t>
            </w:r>
          </w:p>
        </w:tc>
        <w:tc>
          <w:tcPr>
            <w:tcW w:w="840" w:type="dxa"/>
          </w:tcPr>
          <w:p w14:paraId="7B41AEB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875" w:type="dxa"/>
          </w:tcPr>
          <w:p w14:paraId="45B94B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</w:tr>
      <w:tr w14:paraId="32BDA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</w:tcPr>
          <w:p w14:paraId="160F82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3812" w:type="dxa"/>
          </w:tcPr>
          <w:p w14:paraId="63D4945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eastAsia="en-US"/>
              </w:rPr>
              <w:t>药品运输符合医疗行业规范（如冷链温度达标、生物安全包装）</w:t>
            </w:r>
          </w:p>
        </w:tc>
        <w:tc>
          <w:tcPr>
            <w:tcW w:w="960" w:type="dxa"/>
            <w:vAlign w:val="center"/>
          </w:tcPr>
          <w:p w14:paraId="7DEAA7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  <w:t>10分</w:t>
            </w:r>
          </w:p>
        </w:tc>
        <w:tc>
          <w:tcPr>
            <w:tcW w:w="840" w:type="dxa"/>
          </w:tcPr>
          <w:p w14:paraId="6E78D0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875" w:type="dxa"/>
          </w:tcPr>
          <w:p w14:paraId="5AFD0BB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</w:tr>
      <w:tr w14:paraId="59CA5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</w:tcPr>
          <w:p w14:paraId="33AAEF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3812" w:type="dxa"/>
          </w:tcPr>
          <w:p w14:paraId="316F56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vertAlign w:val="baseline"/>
                <w:lang w:val="en-US" w:eastAsia="zh-CN"/>
              </w:rPr>
              <w:t>3.配送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eastAsia="en-US"/>
              </w:rPr>
              <w:t>员工着装规范、佩戴工牌，遵守医院院内管理规定</w:t>
            </w:r>
          </w:p>
        </w:tc>
        <w:tc>
          <w:tcPr>
            <w:tcW w:w="960" w:type="dxa"/>
            <w:vAlign w:val="center"/>
          </w:tcPr>
          <w:p w14:paraId="07C10A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  <w:t>5分</w:t>
            </w:r>
          </w:p>
        </w:tc>
        <w:tc>
          <w:tcPr>
            <w:tcW w:w="840" w:type="dxa"/>
          </w:tcPr>
          <w:p w14:paraId="20D385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875" w:type="dxa"/>
          </w:tcPr>
          <w:p w14:paraId="243405E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</w:tr>
      <w:tr w14:paraId="77856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</w:tcPr>
          <w:p w14:paraId="57A1BA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3812" w:type="dxa"/>
          </w:tcPr>
          <w:p w14:paraId="297495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eastAsia="en-US"/>
              </w:rPr>
              <w:t>客户信息保密（无病历、患者信息泄露情况）</w:t>
            </w:r>
          </w:p>
        </w:tc>
        <w:tc>
          <w:tcPr>
            <w:tcW w:w="960" w:type="dxa"/>
            <w:vAlign w:val="center"/>
          </w:tcPr>
          <w:p w14:paraId="5A9716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  <w:t>5分</w:t>
            </w:r>
          </w:p>
        </w:tc>
        <w:tc>
          <w:tcPr>
            <w:tcW w:w="840" w:type="dxa"/>
          </w:tcPr>
          <w:p w14:paraId="499FCD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875" w:type="dxa"/>
          </w:tcPr>
          <w:p w14:paraId="688470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</w:tr>
      <w:tr w14:paraId="75A1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restart"/>
            <w:vAlign w:val="center"/>
          </w:tcPr>
          <w:p w14:paraId="3F6F3DC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shd w:val="clear" w:fill="FFFFFF"/>
                <w:lang w:eastAsia="en-US"/>
              </w:rPr>
              <w:t>服务态度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shd w:val="clear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shd w:val="clear" w:fill="FFFFFF"/>
                <w:lang w:val="en-US" w:eastAsia="zh-CN"/>
              </w:rPr>
              <w:t>20分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shd w:val="clear" w:fill="FFFFFF"/>
                <w:lang w:eastAsia="zh-CN"/>
              </w:rPr>
              <w:t>）</w:t>
            </w:r>
          </w:p>
        </w:tc>
        <w:tc>
          <w:tcPr>
            <w:tcW w:w="3812" w:type="dxa"/>
          </w:tcPr>
          <w:p w14:paraId="2D7DF1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val="en-US" w:eastAsia="zh-CN"/>
              </w:rPr>
              <w:t>1.配送人员响应及时（按下单期望上门时间取件）</w:t>
            </w:r>
          </w:p>
        </w:tc>
        <w:tc>
          <w:tcPr>
            <w:tcW w:w="960" w:type="dxa"/>
            <w:vAlign w:val="center"/>
          </w:tcPr>
          <w:p w14:paraId="00E156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  <w:t>10分</w:t>
            </w:r>
          </w:p>
        </w:tc>
        <w:tc>
          <w:tcPr>
            <w:tcW w:w="840" w:type="dxa"/>
          </w:tcPr>
          <w:p w14:paraId="67DD6E1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875" w:type="dxa"/>
          </w:tcPr>
          <w:p w14:paraId="742A4C1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</w:tr>
      <w:tr w14:paraId="772D9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2263" w:type="dxa"/>
            <w:vMerge w:val="continue"/>
          </w:tcPr>
          <w:p w14:paraId="3DFCBC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shd w:val="clear" w:fill="FFFFFF"/>
                <w:lang w:eastAsia="en-US"/>
              </w:rPr>
            </w:pPr>
          </w:p>
        </w:tc>
        <w:tc>
          <w:tcPr>
            <w:tcW w:w="3812" w:type="dxa"/>
          </w:tcPr>
          <w:p w14:paraId="1B895BC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val="en-US" w:eastAsia="zh-CN"/>
              </w:rPr>
              <w:t>2.服务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eastAsia="en-US"/>
              </w:rPr>
              <w:t>过程中耐心、专业，配合医院完成物资交接、签收手续</w:t>
            </w:r>
          </w:p>
        </w:tc>
        <w:tc>
          <w:tcPr>
            <w:tcW w:w="960" w:type="dxa"/>
            <w:vAlign w:val="center"/>
          </w:tcPr>
          <w:p w14:paraId="2928A1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  <w:t>10分</w:t>
            </w:r>
          </w:p>
        </w:tc>
        <w:tc>
          <w:tcPr>
            <w:tcW w:w="840" w:type="dxa"/>
          </w:tcPr>
          <w:p w14:paraId="200720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875" w:type="dxa"/>
          </w:tcPr>
          <w:p w14:paraId="021DE6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</w:tr>
      <w:tr w14:paraId="6B14D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restart"/>
            <w:vAlign w:val="center"/>
          </w:tcPr>
          <w:p w14:paraId="53F2D9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shd w:val="clear" w:fill="FFFFFF"/>
                <w:lang w:val="en-US" w:eastAsia="zh-CN"/>
              </w:rPr>
              <w:t>系统服务与应急响应</w:t>
            </w:r>
          </w:p>
          <w:p w14:paraId="468823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shd w:val="clear" w:fill="FFFFFF"/>
                <w:lang w:val="en-US" w:eastAsia="zh-CN"/>
              </w:rPr>
              <w:t>（20分）</w:t>
            </w:r>
          </w:p>
        </w:tc>
        <w:tc>
          <w:tcPr>
            <w:tcW w:w="3812" w:type="dxa"/>
          </w:tcPr>
          <w:p w14:paraId="412F34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val="en-US" w:eastAsia="zh-CN"/>
              </w:rPr>
              <w:t>1.下单系统稳定性（无卡顿、崩溃、数据丢失/错误，要求月度故障≤1 次）</w:t>
            </w:r>
          </w:p>
        </w:tc>
        <w:tc>
          <w:tcPr>
            <w:tcW w:w="960" w:type="dxa"/>
            <w:vAlign w:val="center"/>
          </w:tcPr>
          <w:p w14:paraId="709F73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  <w:t>10分</w:t>
            </w:r>
          </w:p>
        </w:tc>
        <w:tc>
          <w:tcPr>
            <w:tcW w:w="840" w:type="dxa"/>
          </w:tcPr>
          <w:p w14:paraId="59133B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875" w:type="dxa"/>
          </w:tcPr>
          <w:p w14:paraId="1D3590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</w:tr>
      <w:tr w14:paraId="1D1B2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</w:tcPr>
          <w:p w14:paraId="5E41FF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3812" w:type="dxa"/>
          </w:tcPr>
          <w:p w14:paraId="18D8AC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eastAsia="en-US"/>
              </w:rPr>
              <w:t>系统突发问题应急响应时效（故障报修后≤1 小时内响应，提供临时解决方案）</w:t>
            </w:r>
          </w:p>
        </w:tc>
        <w:tc>
          <w:tcPr>
            <w:tcW w:w="960" w:type="dxa"/>
            <w:vAlign w:val="center"/>
          </w:tcPr>
          <w:p w14:paraId="567BA3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  <w:t>10分</w:t>
            </w:r>
          </w:p>
        </w:tc>
        <w:tc>
          <w:tcPr>
            <w:tcW w:w="840" w:type="dxa"/>
          </w:tcPr>
          <w:p w14:paraId="318774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875" w:type="dxa"/>
          </w:tcPr>
          <w:p w14:paraId="259E73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</w:tr>
    </w:tbl>
    <w:p w14:paraId="58FB3A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left"/>
        <w:textAlignment w:val="baseline"/>
        <w:rPr>
          <w:rFonts w:hint="eastAsia" w:ascii="Arial" w:hAnsi="Arial" w:eastAsia="宋体" w:cs="宋体"/>
          <w:snapToGrid w:val="0"/>
          <w:color w:val="000000"/>
          <w:spacing w:val="0"/>
          <w:w w:val="96"/>
          <w:kern w:val="0"/>
          <w:sz w:val="28"/>
          <w:szCs w:val="25"/>
          <w:lang w:val="en-US" w:eastAsia="zh-CN"/>
        </w:rPr>
      </w:pPr>
    </w:p>
    <w:p w14:paraId="1D8345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D2442"/>
    <w:rsid w:val="11AD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spacing w:after="12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2025-12-05T03:53:00Z</dcterms:created>
  <dc:creator>卑微小虎崽</dc:creator>
  <cp:lastModifiedBy>卑微小虎崽</cp:lastModifiedBy>
  <dcterms:modified xsi:type="dcterms:W3CDTF">2025-12-05T03:54:12Z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3D3BB7720600453093E31B21C883009F_11</vt:lpwstr>
  </property>
  <property fmtid="{D5CDD505-2E9C-101B-9397-08002B2CF9AE}" pid="4" name="KSOTemplateDocerSaveRecord">
    <vt:lpwstr>eyJoZGlkIjoiYzZkNzQ4ZWFiZmQ4NTRhOWRkZTk3YTMwMjlmMmZhYmUiLCJ1c2VySWQiOiIxMzQ0MTYwMDk1In0=</vt:lpwstr>
  </property>
</Properties>
</file>