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AFB9A">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Cs/>
          <w:sz w:val="32"/>
          <w:szCs w:val="32"/>
          <w:shd w:val="clear" w:color="auto" w:fill="auto"/>
          <w:lang w:val="en-US" w:eastAsia="zh-CN"/>
        </w:rPr>
      </w:pPr>
      <w:bookmarkStart w:id="0" w:name="_GoBack"/>
      <w:r>
        <w:rPr>
          <w:rFonts w:hint="default" w:ascii="Times New Roman" w:hAnsi="Times New Roman" w:eastAsia="仿宋_GB2312" w:cs="Times New Roman"/>
          <w:bCs/>
          <w:sz w:val="32"/>
          <w:szCs w:val="32"/>
          <w:shd w:val="clear" w:color="auto" w:fill="auto"/>
          <w:lang w:val="en-US" w:eastAsia="zh-CN"/>
        </w:rPr>
        <w:t>附件1：评分细则</w:t>
      </w:r>
      <w:bookmarkEnd w:id="0"/>
    </w:p>
    <w:tbl>
      <w:tblPr>
        <w:tblStyle w:val="3"/>
        <w:tblW w:w="84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143"/>
        <w:gridCol w:w="4714"/>
        <w:gridCol w:w="1105"/>
      </w:tblGrid>
      <w:tr w14:paraId="0744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94" w:type="dxa"/>
            <w:vAlign w:val="center"/>
          </w:tcPr>
          <w:p w14:paraId="4CE934E6">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序号</w:t>
            </w:r>
          </w:p>
        </w:tc>
        <w:tc>
          <w:tcPr>
            <w:tcW w:w="2143" w:type="dxa"/>
            <w:vAlign w:val="center"/>
          </w:tcPr>
          <w:p w14:paraId="7DD3F073">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评审因素</w:t>
            </w:r>
          </w:p>
        </w:tc>
        <w:tc>
          <w:tcPr>
            <w:tcW w:w="4714" w:type="dxa"/>
            <w:vAlign w:val="center"/>
          </w:tcPr>
          <w:p w14:paraId="111098C5">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评分细则</w:t>
            </w:r>
          </w:p>
        </w:tc>
        <w:tc>
          <w:tcPr>
            <w:tcW w:w="1105" w:type="dxa"/>
            <w:vAlign w:val="center"/>
          </w:tcPr>
          <w:p w14:paraId="671B3118">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分值</w:t>
            </w:r>
          </w:p>
          <w:p w14:paraId="25861270">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（分）</w:t>
            </w:r>
          </w:p>
        </w:tc>
      </w:tr>
      <w:tr w14:paraId="372F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94" w:type="dxa"/>
            <w:vAlign w:val="center"/>
          </w:tcPr>
          <w:p w14:paraId="7D534FA6">
            <w:pPr>
              <w:autoSpaceDE w:val="0"/>
              <w:autoSpaceDN w:val="0"/>
              <w:adjustRightInd w:val="0"/>
              <w:snapToGrid w:val="0"/>
              <w:spacing w:line="240" w:lineRule="auto"/>
              <w:ind w:left="0" w:leftChars="0" w:right="0" w:rightChars="0"/>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一</w:t>
            </w:r>
          </w:p>
        </w:tc>
        <w:tc>
          <w:tcPr>
            <w:tcW w:w="7962" w:type="dxa"/>
            <w:gridSpan w:val="3"/>
            <w:vAlign w:val="center"/>
          </w:tcPr>
          <w:p w14:paraId="70C0A4C8">
            <w:pPr>
              <w:autoSpaceDE w:val="0"/>
              <w:autoSpaceDN w:val="0"/>
              <w:adjustRightInd w:val="0"/>
              <w:snapToGrid w:val="0"/>
              <w:spacing w:line="240" w:lineRule="auto"/>
              <w:ind w:left="0" w:leftChars="0" w:right="0" w:rightChars="0"/>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lang w:val="en-US" w:eastAsia="zh-CN"/>
              </w:rPr>
              <w:t>技术部分</w:t>
            </w:r>
            <w:r>
              <w:rPr>
                <w:rFonts w:hint="default" w:ascii="Times New Roman" w:hAnsi="Times New Roman" w:eastAsia="宋体" w:cs="Times New Roman"/>
                <w:b/>
                <w:kern w:val="0"/>
                <w:sz w:val="24"/>
                <w:szCs w:val="20"/>
              </w:rPr>
              <w:t>（合计</w:t>
            </w:r>
            <w:r>
              <w:rPr>
                <w:rFonts w:hint="default" w:ascii="Times New Roman" w:hAnsi="Times New Roman" w:eastAsia="宋体" w:cs="Times New Roman"/>
                <w:b/>
                <w:kern w:val="0"/>
                <w:sz w:val="24"/>
                <w:szCs w:val="20"/>
                <w:lang w:val="en-US" w:eastAsia="zh-CN"/>
              </w:rPr>
              <w:t>40</w:t>
            </w:r>
            <w:r>
              <w:rPr>
                <w:rFonts w:hint="default" w:ascii="Times New Roman" w:hAnsi="Times New Roman" w:eastAsia="宋体" w:cs="Times New Roman"/>
                <w:b/>
                <w:kern w:val="0"/>
                <w:sz w:val="24"/>
                <w:szCs w:val="20"/>
              </w:rPr>
              <w:t>分）</w:t>
            </w:r>
          </w:p>
        </w:tc>
      </w:tr>
      <w:tr w14:paraId="0637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vAlign w:val="center"/>
          </w:tcPr>
          <w:p w14:paraId="60FDFF58">
            <w:pPr>
              <w:widowControl w:val="0"/>
              <w:numPr>
                <w:ilvl w:val="0"/>
                <w:numId w:val="0"/>
              </w:numPr>
              <w:autoSpaceDE/>
              <w:autoSpaceDN/>
              <w:adjustRightInd w:val="0"/>
              <w:snapToGrid w:val="0"/>
              <w:spacing w:line="36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w:t>
            </w:r>
          </w:p>
        </w:tc>
        <w:tc>
          <w:tcPr>
            <w:tcW w:w="2143" w:type="dxa"/>
            <w:vAlign w:val="center"/>
          </w:tcPr>
          <w:p w14:paraId="22F6D880">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lang w:val="en-US" w:eastAsia="zh-CN"/>
              </w:rPr>
              <w:t>一般技术参数的响应情况</w:t>
            </w:r>
          </w:p>
        </w:tc>
        <w:tc>
          <w:tcPr>
            <w:tcW w:w="4714" w:type="dxa"/>
            <w:vAlign w:val="center"/>
          </w:tcPr>
          <w:p w14:paraId="266E0DB4">
            <w:pPr>
              <w:keepNext w:val="0"/>
              <w:keepLines w:val="0"/>
              <w:pageBreakBefore w:val="0"/>
              <w:widowControl/>
              <w:kinsoku/>
              <w:wordWrap/>
              <w:overflowPunct/>
              <w:topLinePunct w:val="0"/>
              <w:autoSpaceDE w:val="0"/>
              <w:autoSpaceDN w:val="0"/>
              <w:bidi w:val="0"/>
              <w:adjustRightInd w:val="0"/>
              <w:snapToGrid/>
              <w:spacing w:afterLines="0" w:line="264" w:lineRule="auto"/>
              <w:ind w:firstLine="480" w:firstLineChars="200"/>
              <w:jc w:val="left"/>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应满足一般技术参数及以上的响应情况：</w:t>
            </w:r>
          </w:p>
          <w:p w14:paraId="016B237D">
            <w:pPr>
              <w:keepNext w:val="0"/>
              <w:keepLines w:val="0"/>
              <w:pageBreakBefore w:val="0"/>
              <w:widowControl/>
              <w:kinsoku/>
              <w:wordWrap/>
              <w:overflowPunct/>
              <w:topLinePunct w:val="0"/>
              <w:autoSpaceDE w:val="0"/>
              <w:autoSpaceDN w:val="0"/>
              <w:bidi w:val="0"/>
              <w:adjustRightInd w:val="0"/>
              <w:snapToGrid/>
              <w:spacing w:afterLines="0" w:line="264" w:lineRule="auto"/>
              <w:ind w:firstLine="480" w:firstLineChars="200"/>
              <w:jc w:val="left"/>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①（3分）</w:t>
            </w:r>
            <w:r>
              <w:rPr>
                <w:rFonts w:hint="default" w:ascii="Times New Roman" w:hAnsi="Times New Roman" w:eastAsia="宋体" w:cs="Times New Roman"/>
                <w:kern w:val="0"/>
                <w:sz w:val="24"/>
              </w:rPr>
              <w:t>15分钟内响应</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lang w:val="en-US" w:eastAsia="zh-CN"/>
              </w:rPr>
              <w:t>1</w:t>
            </w:r>
            <w:r>
              <w:rPr>
                <w:rFonts w:hint="default" w:ascii="Times New Roman" w:hAnsi="Times New Roman" w:eastAsia="宋体" w:cs="Times New Roman"/>
                <w:kern w:val="0"/>
                <w:sz w:val="24"/>
              </w:rPr>
              <w:t>小时内到现场</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rPr>
              <w:t>4小时内修复（特殊故障除外）</w:t>
            </w:r>
            <w:r>
              <w:rPr>
                <w:rFonts w:hint="default" w:ascii="Times New Roman" w:hAnsi="Times New Roman" w:eastAsia="宋体" w:cs="Times New Roman"/>
                <w:kern w:val="0"/>
                <w:sz w:val="24"/>
                <w:lang w:eastAsia="zh-CN"/>
              </w:rPr>
              <w:t>，承诺满足或存在正偏差</w:t>
            </w:r>
            <w:r>
              <w:rPr>
                <w:rFonts w:hint="default" w:ascii="Times New Roman" w:hAnsi="Times New Roman" w:eastAsia="宋体" w:cs="Times New Roman"/>
                <w:kern w:val="0"/>
                <w:sz w:val="24"/>
                <w:lang w:val="en-US" w:eastAsia="zh-CN"/>
              </w:rPr>
              <w:t>得3分；存在负偏差或未响应，每不满足1项扣1分，扣完为止。</w:t>
            </w:r>
          </w:p>
          <w:p w14:paraId="396DD201">
            <w:pPr>
              <w:keepNext w:val="0"/>
              <w:keepLines w:val="0"/>
              <w:pageBreakBefore w:val="0"/>
              <w:widowControl/>
              <w:kinsoku/>
              <w:wordWrap/>
              <w:overflowPunct/>
              <w:topLinePunct w:val="0"/>
              <w:autoSpaceDE w:val="0"/>
              <w:autoSpaceDN w:val="0"/>
              <w:bidi w:val="0"/>
              <w:adjustRightInd w:val="0"/>
              <w:snapToGrid/>
              <w:spacing w:afterLines="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lang w:val="en-US" w:eastAsia="zh-CN"/>
              </w:rPr>
              <w:t>②（7分）应提供可证明响应承诺的相关材料，由评审人员按交通距离（营业执照、服务点或服务合同甲方地址到我院的最短交通距离）给分，60公里以内给予7分，60-80公里给予5分，80-120公里给予3分，超过120公里或无材料，不得分。</w:t>
            </w:r>
          </w:p>
          <w:p w14:paraId="07E68701">
            <w:pPr>
              <w:rPr>
                <w:rFonts w:hint="default" w:ascii="Times New Roman" w:hAnsi="Times New Roman" w:cs="Times New Roman"/>
              </w:rPr>
            </w:pPr>
            <w:r>
              <w:rPr>
                <w:rFonts w:hint="default" w:ascii="Times New Roman" w:hAnsi="Times New Roman" w:eastAsia="宋体" w:cs="Times New Roman"/>
                <w:kern w:val="0"/>
                <w:sz w:val="24"/>
              </w:rPr>
              <w:t>投标时提供：</w:t>
            </w:r>
          </w:p>
          <w:p w14:paraId="0D72CE85">
            <w:pPr>
              <w:rPr>
                <w:rFonts w:hint="default" w:ascii="Times New Roman" w:hAnsi="Times New Roman" w:cs="Times New Roman"/>
              </w:rPr>
            </w:pPr>
            <w:r>
              <w:rPr>
                <w:rFonts w:hint="default" w:ascii="Times New Roman" w:hAnsi="Times New Roman" w:eastAsia="宋体" w:cs="Times New Roman"/>
                <w:kern w:val="0"/>
                <w:sz w:val="24"/>
              </w:rPr>
              <w:t>①</w:t>
            </w:r>
            <w:r>
              <w:rPr>
                <w:rFonts w:hint="default" w:ascii="Times New Roman" w:hAnsi="Times New Roman" w:eastAsia="宋体" w:cs="Times New Roman"/>
                <w:kern w:val="0"/>
                <w:sz w:val="24"/>
                <w:lang w:val="en-US" w:eastAsia="zh-CN"/>
              </w:rPr>
              <w:t>履约保证书（</w:t>
            </w:r>
            <w:r>
              <w:rPr>
                <w:rFonts w:hint="default" w:ascii="Times New Roman" w:hAnsi="Times New Roman" w:eastAsia="宋体" w:cs="Times New Roman"/>
                <w:kern w:val="0"/>
                <w:sz w:val="24"/>
              </w:rPr>
              <w:t>承诺</w:t>
            </w:r>
            <w:r>
              <w:rPr>
                <w:rFonts w:hint="default" w:ascii="Times New Roman" w:hAnsi="Times New Roman" w:eastAsia="宋体" w:cs="Times New Roman"/>
                <w:kern w:val="0"/>
                <w:sz w:val="24"/>
                <w:lang w:eastAsia="zh-CN"/>
              </w:rPr>
              <w:t>满足响应情况，标明交通距离</w:t>
            </w:r>
            <w:r>
              <w:rPr>
                <w:rFonts w:hint="default" w:ascii="Times New Roman" w:hAnsi="Times New Roman" w:eastAsia="宋体" w:cs="Times New Roman"/>
                <w:kern w:val="0"/>
                <w:sz w:val="24"/>
                <w:lang w:val="en-US" w:eastAsia="zh-CN"/>
              </w:rPr>
              <w:t>）；</w:t>
            </w:r>
          </w:p>
          <w:p w14:paraId="3915C052">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outlineLvl w:val="9"/>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②距离证明材料（标明最短交通距离）</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rPr>
              <w:t>如</w:t>
            </w:r>
            <w:r>
              <w:rPr>
                <w:rFonts w:hint="default" w:ascii="Times New Roman" w:hAnsi="Times New Roman" w:eastAsia="宋体" w:cs="Times New Roman"/>
                <w:kern w:val="0"/>
                <w:sz w:val="24"/>
                <w:lang w:eastAsia="zh-CN"/>
              </w:rPr>
              <w:t>服务点租赁合同关键页</w:t>
            </w:r>
            <w:r>
              <w:rPr>
                <w:rFonts w:hint="default" w:ascii="Times New Roman" w:hAnsi="Times New Roman" w:eastAsia="宋体" w:cs="Times New Roman"/>
                <w:kern w:val="0"/>
                <w:sz w:val="24"/>
                <w:lang w:val="en-US" w:eastAsia="zh-CN"/>
              </w:rPr>
              <w:t>/房地产证复印件、</w:t>
            </w:r>
            <w:r>
              <w:rPr>
                <w:rFonts w:hint="default" w:ascii="Times New Roman" w:hAnsi="Times New Roman" w:eastAsia="宋体" w:cs="Times New Roman"/>
                <w:kern w:val="0"/>
                <w:sz w:val="24"/>
                <w:lang w:eastAsia="zh-CN"/>
              </w:rPr>
              <w:t>营业执照复印件、附近项目</w:t>
            </w:r>
            <w:r>
              <w:rPr>
                <w:rFonts w:hint="default" w:ascii="Times New Roman" w:hAnsi="Times New Roman" w:eastAsia="宋体" w:cs="Times New Roman"/>
                <w:sz w:val="24"/>
                <w:szCs w:val="20"/>
                <w:lang w:val="en-US" w:eastAsia="zh-CN" w:bidi="ar-SA"/>
              </w:rPr>
              <w:t>合同关键页复印件（合同须体现合同内容、合同双方、合同签订日期、双方盖章</w:t>
            </w:r>
            <w:r>
              <w:rPr>
                <w:rFonts w:hint="default" w:ascii="Times New Roman" w:hAnsi="Times New Roman" w:eastAsia="宋体" w:cs="Times New Roman"/>
                <w:kern w:val="0"/>
                <w:sz w:val="24"/>
              </w:rPr>
              <w:t>）</w:t>
            </w:r>
            <w:r>
              <w:rPr>
                <w:rFonts w:hint="default" w:ascii="Times New Roman" w:hAnsi="Times New Roman" w:eastAsia="宋体" w:cs="Times New Roman"/>
                <w:kern w:val="0"/>
                <w:sz w:val="24"/>
                <w:lang w:eastAsia="zh-CN"/>
              </w:rPr>
              <w:t>。</w:t>
            </w:r>
          </w:p>
        </w:tc>
        <w:tc>
          <w:tcPr>
            <w:tcW w:w="1105" w:type="dxa"/>
            <w:vAlign w:val="center"/>
          </w:tcPr>
          <w:p w14:paraId="39A3DE39">
            <w:pPr>
              <w:keepNext w:val="0"/>
              <w:keepLines w:val="0"/>
              <w:pageBreakBefore w:val="0"/>
              <w:widowControl w:val="0"/>
              <w:kinsoku/>
              <w:wordWrap/>
              <w:overflowPunct/>
              <w:topLinePunct w:val="0"/>
              <w:autoSpaceDE w:val="0"/>
              <w:autoSpaceDN w:val="0"/>
              <w:bidi w:val="0"/>
              <w:adjustRightInd w:val="0"/>
              <w:snapToGrid/>
              <w:spacing w:after="120" w:afterLines="0" w:afterAutospacing="0" w:line="264" w:lineRule="auto"/>
              <w:ind w:firstLine="0"/>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10</w:t>
            </w:r>
          </w:p>
        </w:tc>
      </w:tr>
      <w:tr w14:paraId="164B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trPr>
        <w:tc>
          <w:tcPr>
            <w:tcW w:w="494" w:type="dxa"/>
            <w:vAlign w:val="center"/>
          </w:tcPr>
          <w:p w14:paraId="7EAD47D9">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2</w:t>
            </w:r>
          </w:p>
        </w:tc>
        <w:tc>
          <w:tcPr>
            <w:tcW w:w="2143" w:type="dxa"/>
            <w:vAlign w:val="center"/>
          </w:tcPr>
          <w:p w14:paraId="45EE0BD5">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维保服务方案</w:t>
            </w:r>
          </w:p>
        </w:tc>
        <w:tc>
          <w:tcPr>
            <w:tcW w:w="4714" w:type="dxa"/>
            <w:vAlign w:val="center"/>
          </w:tcPr>
          <w:p w14:paraId="2F0255DB">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lang w:eastAsia="zh-CN"/>
              </w:rPr>
              <w:t>需提交维保服务方案（包括但不限于维保、巡查工作计划、维保总结报告、设备更换与维修、检测</w:t>
            </w:r>
            <w:r>
              <w:rPr>
                <w:rFonts w:hint="default" w:ascii="Times New Roman" w:hAnsi="Times New Roman" w:eastAsia="宋体" w:cs="Times New Roman"/>
                <w:kern w:val="0"/>
                <w:sz w:val="24"/>
                <w:szCs w:val="20"/>
                <w:lang w:val="en-US" w:eastAsia="zh-CN"/>
              </w:rPr>
              <w:t>/检查</w:t>
            </w:r>
            <w:r>
              <w:rPr>
                <w:rFonts w:hint="default" w:ascii="Times New Roman" w:hAnsi="Times New Roman" w:eastAsia="宋体" w:cs="Times New Roman"/>
                <w:kern w:val="0"/>
                <w:sz w:val="24"/>
                <w:szCs w:val="20"/>
                <w:lang w:eastAsia="zh-CN"/>
              </w:rPr>
              <w:t>方案等）进行评审：</w:t>
            </w:r>
          </w:p>
          <w:p w14:paraId="413BFCFF">
            <w:pPr>
              <w:keepNext w:val="0"/>
              <w:keepLines w:val="0"/>
              <w:pageBreakBefore w:val="0"/>
              <w:widowControl/>
              <w:numPr>
                <w:ilvl w:val="0"/>
                <w:numId w:val="1"/>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（10分）维保服务方案全面完善，契合本项目服务要求，完全满足或优于采购需求的。</w:t>
            </w:r>
          </w:p>
          <w:p w14:paraId="60F717F3">
            <w:pPr>
              <w:keepNext w:val="0"/>
              <w:keepLines w:val="0"/>
              <w:pageBreakBefore w:val="0"/>
              <w:widowControl/>
              <w:numPr>
                <w:ilvl w:val="0"/>
                <w:numId w:val="1"/>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（7分）维保服务方案较全面完善，完全满足采购需求的。</w:t>
            </w:r>
          </w:p>
          <w:p w14:paraId="7D7C4884">
            <w:pPr>
              <w:keepNext w:val="0"/>
              <w:keepLines w:val="0"/>
              <w:pageBreakBefore w:val="0"/>
              <w:widowControl/>
              <w:numPr>
                <w:ilvl w:val="0"/>
                <w:numId w:val="1"/>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（4分）不够全面完善，部分契合本项目服务要求，部分满足采购需求的。</w:t>
            </w:r>
          </w:p>
          <w:p w14:paraId="618E3408">
            <w:pPr>
              <w:keepNext w:val="0"/>
              <w:keepLines w:val="0"/>
              <w:pageBreakBefore w:val="0"/>
              <w:widowControl/>
              <w:numPr>
                <w:ilvl w:val="0"/>
                <w:numId w:val="1"/>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（0分）未提供方案或提供方案不可行的。</w:t>
            </w:r>
          </w:p>
          <w:p w14:paraId="5DB0BDAB">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投标时提供：维保服务方案。</w:t>
            </w:r>
          </w:p>
        </w:tc>
        <w:tc>
          <w:tcPr>
            <w:tcW w:w="1105" w:type="dxa"/>
            <w:vAlign w:val="center"/>
          </w:tcPr>
          <w:p w14:paraId="00B0FE82">
            <w:pPr>
              <w:keepNext w:val="0"/>
              <w:keepLines w:val="0"/>
              <w:pageBreakBefore w:val="0"/>
              <w:widowControl w:val="0"/>
              <w:kinsoku/>
              <w:wordWrap/>
              <w:overflowPunct/>
              <w:topLinePunct w:val="0"/>
              <w:autoSpaceDE w:val="0"/>
              <w:autoSpaceDN w:val="0"/>
              <w:bidi w:val="0"/>
              <w:adjustRightInd w:val="0"/>
              <w:snapToGrid/>
              <w:spacing w:after="120" w:afterLines="0" w:afterAutospacing="0" w:line="264" w:lineRule="auto"/>
              <w:ind w:firstLine="0"/>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10</w:t>
            </w:r>
          </w:p>
        </w:tc>
      </w:tr>
      <w:tr w14:paraId="0E15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494" w:type="dxa"/>
            <w:vAlign w:val="center"/>
          </w:tcPr>
          <w:p w14:paraId="503B5978">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3</w:t>
            </w:r>
          </w:p>
        </w:tc>
        <w:tc>
          <w:tcPr>
            <w:tcW w:w="2143" w:type="dxa"/>
            <w:vAlign w:val="center"/>
          </w:tcPr>
          <w:p w14:paraId="4AB3B2C0">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质量保障方案</w:t>
            </w:r>
          </w:p>
        </w:tc>
        <w:tc>
          <w:tcPr>
            <w:tcW w:w="4714" w:type="dxa"/>
            <w:vAlign w:val="center"/>
          </w:tcPr>
          <w:p w14:paraId="5D543896">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lang w:eastAsia="zh-CN"/>
              </w:rPr>
              <w:t>需提交质量保障方案（包括但不限于质量管理目标、质量管理的风险预防和应对措施、备品备件质量保障措施）进行评审：</w:t>
            </w:r>
          </w:p>
          <w:p w14:paraId="700F4CF4">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（10分）</w:t>
            </w:r>
            <w:r>
              <w:rPr>
                <w:rFonts w:hint="default" w:ascii="Times New Roman" w:hAnsi="Times New Roman" w:eastAsia="宋体" w:cs="Times New Roman"/>
                <w:kern w:val="0"/>
                <w:sz w:val="24"/>
                <w:szCs w:val="20"/>
                <w:lang w:eastAsia="zh-CN"/>
              </w:rPr>
              <w:t>质量保障</w:t>
            </w:r>
            <w:r>
              <w:rPr>
                <w:rFonts w:hint="default" w:ascii="Times New Roman" w:hAnsi="Times New Roman" w:eastAsia="宋体" w:cs="Times New Roman"/>
                <w:kern w:val="0"/>
                <w:sz w:val="24"/>
                <w:szCs w:val="20"/>
                <w:lang w:val="en-US" w:eastAsia="zh-CN"/>
              </w:rPr>
              <w:t>方案全面完善，契合本项目服务要求，备品备件充足，完全满足或优于采购需求的。</w:t>
            </w:r>
          </w:p>
          <w:p w14:paraId="47596198">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（7分）</w:t>
            </w:r>
            <w:r>
              <w:rPr>
                <w:rFonts w:hint="default" w:ascii="Times New Roman" w:hAnsi="Times New Roman" w:eastAsia="宋体" w:cs="Times New Roman"/>
                <w:kern w:val="0"/>
                <w:sz w:val="24"/>
                <w:szCs w:val="20"/>
                <w:lang w:eastAsia="zh-CN"/>
              </w:rPr>
              <w:t>质量保障</w:t>
            </w:r>
            <w:r>
              <w:rPr>
                <w:rFonts w:hint="default" w:ascii="Times New Roman" w:hAnsi="Times New Roman" w:eastAsia="宋体" w:cs="Times New Roman"/>
                <w:kern w:val="0"/>
                <w:sz w:val="24"/>
                <w:szCs w:val="20"/>
                <w:lang w:val="en-US" w:eastAsia="zh-CN"/>
              </w:rPr>
              <w:t>方案较完善，基本契合本项目服务要求，备品备件较充足，基本满足采购</w:t>
            </w:r>
            <w:r>
              <w:rPr>
                <w:rFonts w:hint="eastAsia" w:ascii="Times New Roman" w:hAnsi="Times New Roman" w:eastAsia="宋体" w:cs="Times New Roman"/>
                <w:kern w:val="0"/>
                <w:sz w:val="24"/>
                <w:szCs w:val="20"/>
                <w:lang w:val="en-US" w:eastAsia="zh-CN"/>
              </w:rPr>
              <w:t>需求</w:t>
            </w:r>
            <w:r>
              <w:rPr>
                <w:rFonts w:hint="default" w:ascii="Times New Roman" w:hAnsi="Times New Roman" w:eastAsia="宋体" w:cs="Times New Roman"/>
                <w:kern w:val="0"/>
                <w:sz w:val="24"/>
                <w:szCs w:val="20"/>
                <w:lang w:val="en-US" w:eastAsia="zh-CN"/>
              </w:rPr>
              <w:t>。</w:t>
            </w:r>
          </w:p>
          <w:p w14:paraId="79A44BB5">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（4分）质量保障方案不够全面完善，部分契合本项目服务要求，备品备件不充足，部分满足采购需求的。</w:t>
            </w:r>
          </w:p>
          <w:p w14:paraId="147C32BA">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lang w:val="en-US" w:eastAsia="zh-CN"/>
              </w:rPr>
              <w:t>（0分）未提供方案、提供方案不可行或无备品备件，无法满足采购需求的。</w:t>
            </w:r>
          </w:p>
          <w:p w14:paraId="225C2DD0">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投标时提供：质量保障方案。</w:t>
            </w:r>
          </w:p>
        </w:tc>
        <w:tc>
          <w:tcPr>
            <w:tcW w:w="1105" w:type="dxa"/>
            <w:vAlign w:val="center"/>
          </w:tcPr>
          <w:p w14:paraId="2B7BE149">
            <w:pPr>
              <w:keepNext w:val="0"/>
              <w:keepLines w:val="0"/>
              <w:pageBreakBefore w:val="0"/>
              <w:widowControl w:val="0"/>
              <w:kinsoku/>
              <w:wordWrap/>
              <w:overflowPunct/>
              <w:topLinePunct w:val="0"/>
              <w:autoSpaceDE w:val="0"/>
              <w:autoSpaceDN w:val="0"/>
              <w:bidi w:val="0"/>
              <w:adjustRightInd w:val="0"/>
              <w:snapToGrid/>
              <w:spacing w:after="120" w:afterLines="0" w:afterAutospacing="0" w:line="264" w:lineRule="auto"/>
              <w:ind w:firstLine="0"/>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10</w:t>
            </w:r>
          </w:p>
        </w:tc>
      </w:tr>
      <w:tr w14:paraId="39A3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94" w:type="dxa"/>
            <w:vAlign w:val="center"/>
          </w:tcPr>
          <w:p w14:paraId="084E79E2">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4</w:t>
            </w:r>
          </w:p>
        </w:tc>
        <w:tc>
          <w:tcPr>
            <w:tcW w:w="2143" w:type="dxa"/>
            <w:vAlign w:val="center"/>
          </w:tcPr>
          <w:p w14:paraId="58B13CDA">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应急处理方案</w:t>
            </w:r>
          </w:p>
        </w:tc>
        <w:tc>
          <w:tcPr>
            <w:tcW w:w="4714" w:type="dxa"/>
            <w:vAlign w:val="center"/>
          </w:tcPr>
          <w:p w14:paraId="10C4A42B">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lang w:eastAsia="zh-CN"/>
              </w:rPr>
              <w:t>需提交应急处理方案（包括但不限于人员调配、问题诊断、故障解决等）进行评审：</w:t>
            </w:r>
          </w:p>
          <w:p w14:paraId="306FCADD">
            <w:pPr>
              <w:keepNext w:val="0"/>
              <w:keepLines w:val="0"/>
              <w:pageBreakBefore w:val="0"/>
              <w:widowControl/>
              <w:numPr>
                <w:ilvl w:val="0"/>
                <w:numId w:val="2"/>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（10分）对项目发生突发事件的处理原则、流程、方法等制定针对性强和可操作性高的应急处理预案。</w:t>
            </w:r>
          </w:p>
          <w:p w14:paraId="0B978C0E">
            <w:pPr>
              <w:keepNext w:val="0"/>
              <w:keepLines w:val="0"/>
              <w:pageBreakBefore w:val="0"/>
              <w:widowControl/>
              <w:numPr>
                <w:ilvl w:val="0"/>
                <w:numId w:val="2"/>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（7分）对项目发生突发事件的处理原则、流程、方法等制定针对性一般和可操作性一般的应急处理预案。</w:t>
            </w:r>
          </w:p>
          <w:p w14:paraId="127B548F">
            <w:pPr>
              <w:keepNext w:val="0"/>
              <w:keepLines w:val="0"/>
              <w:pageBreakBefore w:val="0"/>
              <w:widowControl/>
              <w:numPr>
                <w:ilvl w:val="0"/>
                <w:numId w:val="2"/>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（4分）对项目发生突发事件的处理原则、流程、方法等制定针对性弱和可操作性低的应急处理预案。</w:t>
            </w:r>
          </w:p>
          <w:p w14:paraId="6128E648">
            <w:pPr>
              <w:keepNext w:val="0"/>
              <w:keepLines w:val="0"/>
              <w:pageBreakBefore w:val="0"/>
              <w:widowControl/>
              <w:numPr>
                <w:ilvl w:val="0"/>
                <w:numId w:val="2"/>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lang w:val="en-US" w:eastAsia="zh-CN"/>
              </w:rPr>
              <w:t>（0分）未提供方案或提供方案不可行的。</w:t>
            </w:r>
          </w:p>
          <w:p w14:paraId="6645B418">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lang w:val="en-US" w:eastAsia="zh-CN"/>
              </w:rPr>
              <w:t>投标时提供：应急处理方案。</w:t>
            </w:r>
          </w:p>
        </w:tc>
        <w:tc>
          <w:tcPr>
            <w:tcW w:w="1105" w:type="dxa"/>
            <w:vAlign w:val="center"/>
          </w:tcPr>
          <w:p w14:paraId="4A8D002F">
            <w:pPr>
              <w:keepNext w:val="0"/>
              <w:keepLines w:val="0"/>
              <w:pageBreakBefore w:val="0"/>
              <w:widowControl w:val="0"/>
              <w:kinsoku/>
              <w:wordWrap/>
              <w:overflowPunct/>
              <w:topLinePunct w:val="0"/>
              <w:autoSpaceDE w:val="0"/>
              <w:autoSpaceDN w:val="0"/>
              <w:bidi w:val="0"/>
              <w:adjustRightInd w:val="0"/>
              <w:snapToGrid/>
              <w:spacing w:after="120" w:afterLines="0" w:afterAutospacing="0" w:line="264" w:lineRule="auto"/>
              <w:ind w:firstLine="0"/>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10</w:t>
            </w:r>
          </w:p>
        </w:tc>
      </w:tr>
      <w:tr w14:paraId="5859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4" w:type="dxa"/>
            <w:vAlign w:val="center"/>
          </w:tcPr>
          <w:p w14:paraId="0783975C">
            <w:pPr>
              <w:widowControl w:val="0"/>
              <w:autoSpaceDE/>
              <w:autoSpaceDN/>
              <w:adjustRightInd w:val="0"/>
              <w:snapToGrid w:val="0"/>
              <w:spacing w:line="240" w:lineRule="auto"/>
              <w:ind w:firstLine="0" w:firstLineChars="0"/>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b/>
                <w:sz w:val="24"/>
                <w:lang w:val="en-US" w:eastAsia="zh-CN" w:bidi="ar-SA"/>
              </w:rPr>
              <w:t>二</w:t>
            </w:r>
          </w:p>
        </w:tc>
        <w:tc>
          <w:tcPr>
            <w:tcW w:w="7962" w:type="dxa"/>
            <w:gridSpan w:val="3"/>
            <w:vAlign w:val="center"/>
          </w:tcPr>
          <w:p w14:paraId="6E149119">
            <w:pPr>
              <w:keepNext w:val="0"/>
              <w:keepLines w:val="0"/>
              <w:pageBreakBefore w:val="0"/>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b/>
                <w:kern w:val="0"/>
                <w:sz w:val="24"/>
                <w:szCs w:val="20"/>
                <w:lang w:val="en-US" w:eastAsia="zh-CN"/>
              </w:rPr>
              <w:t>商务部分</w:t>
            </w:r>
            <w:r>
              <w:rPr>
                <w:rFonts w:hint="default" w:ascii="Times New Roman" w:hAnsi="Times New Roman" w:eastAsia="宋体" w:cs="Times New Roman"/>
                <w:b/>
                <w:kern w:val="0"/>
                <w:sz w:val="24"/>
                <w:szCs w:val="20"/>
              </w:rPr>
              <w:t>（合计</w:t>
            </w:r>
            <w:r>
              <w:rPr>
                <w:rFonts w:hint="default" w:ascii="Times New Roman" w:hAnsi="Times New Roman" w:eastAsia="宋体" w:cs="Times New Roman"/>
                <w:b/>
                <w:kern w:val="0"/>
                <w:sz w:val="24"/>
                <w:szCs w:val="20"/>
                <w:lang w:val="en-US" w:eastAsia="zh-CN"/>
              </w:rPr>
              <w:t>30</w:t>
            </w:r>
            <w:r>
              <w:rPr>
                <w:rFonts w:hint="default" w:ascii="Times New Roman" w:hAnsi="Times New Roman" w:eastAsia="宋体" w:cs="Times New Roman"/>
                <w:b/>
                <w:kern w:val="0"/>
                <w:sz w:val="24"/>
                <w:szCs w:val="20"/>
              </w:rPr>
              <w:t>分）</w:t>
            </w:r>
          </w:p>
        </w:tc>
      </w:tr>
      <w:tr w14:paraId="2B1C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494" w:type="dxa"/>
            <w:vAlign w:val="center"/>
          </w:tcPr>
          <w:p w14:paraId="285C846D">
            <w:pPr>
              <w:widowControl w:val="0"/>
              <w:numPr>
                <w:ilvl w:val="0"/>
                <w:numId w:val="0"/>
              </w:numPr>
              <w:autoSpaceDE/>
              <w:autoSpaceDN/>
              <w:adjustRightInd w:val="0"/>
              <w:snapToGrid w:val="0"/>
              <w:spacing w:line="36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5</w:t>
            </w:r>
          </w:p>
        </w:tc>
        <w:tc>
          <w:tcPr>
            <w:tcW w:w="2143" w:type="dxa"/>
            <w:vAlign w:val="center"/>
          </w:tcPr>
          <w:p w14:paraId="66177FD1">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lang w:val="en-US" w:eastAsia="zh-CN"/>
              </w:rPr>
              <w:t>企业</w:t>
            </w:r>
            <w:r>
              <w:rPr>
                <w:rFonts w:hint="default" w:ascii="Times New Roman" w:hAnsi="Times New Roman" w:eastAsia="宋体" w:cs="Times New Roman"/>
                <w:kern w:val="0"/>
                <w:sz w:val="24"/>
              </w:rPr>
              <w:t>资质</w:t>
            </w:r>
          </w:p>
        </w:tc>
        <w:tc>
          <w:tcPr>
            <w:tcW w:w="4714" w:type="dxa"/>
            <w:vAlign w:val="center"/>
          </w:tcPr>
          <w:p w14:paraId="4A9E9622">
            <w:pPr>
              <w:keepNext w:val="0"/>
              <w:keepLines w:val="0"/>
              <w:pageBreakBefore w:val="0"/>
              <w:widowControl/>
              <w:kinsoku/>
              <w:wordWrap/>
              <w:overflowPunct/>
              <w:topLinePunct w:val="0"/>
              <w:autoSpaceDE/>
              <w:autoSpaceDN/>
              <w:bidi w:val="0"/>
              <w:adjustRightInd w:val="0"/>
              <w:snapToGrid w:val="0"/>
              <w:spacing w:after="0" w:afterLines="0" w:afterAutospacing="0" w:line="240" w:lineRule="auto"/>
              <w:ind w:firstLine="0" w:firstLineChars="0"/>
              <w:jc w:val="left"/>
              <w:textAlignment w:val="auto"/>
              <w:outlineLvl w:val="9"/>
              <w:rPr>
                <w:rFonts w:hint="default" w:ascii="Times New Roman" w:hAnsi="Times New Roman" w:cs="Times New Roman"/>
              </w:rPr>
            </w:pPr>
            <w:r>
              <w:rPr>
                <w:rFonts w:hint="default" w:ascii="Times New Roman" w:hAnsi="Times New Roman" w:eastAsia="宋体" w:cs="Times New Roman"/>
                <w:sz w:val="24"/>
                <w:lang w:val="en-US" w:eastAsia="zh-CN"/>
              </w:rPr>
              <w:t>提供有效的相关的公司资质证明文件</w:t>
            </w:r>
            <w:r>
              <w:rPr>
                <w:rFonts w:hint="eastAsia" w:ascii="Times New Roman" w:hAnsi="Times New Roman" w:eastAsia="宋体" w:cs="Times New Roman"/>
                <w:sz w:val="24"/>
                <w:lang w:val="en-US" w:eastAsia="zh-CN"/>
              </w:rPr>
              <w:t>对应</w:t>
            </w:r>
            <w:r>
              <w:rPr>
                <w:rFonts w:hint="default" w:ascii="Times New Roman" w:hAnsi="Times New Roman" w:eastAsia="宋体" w:cs="Times New Roman"/>
                <w:sz w:val="24"/>
                <w:lang w:val="en-US" w:eastAsia="zh-CN"/>
              </w:rPr>
              <w:t>得分，没有的对应不得分。具体如下：</w:t>
            </w:r>
          </w:p>
          <w:p w14:paraId="33D60723">
            <w:pP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lang w:val="en-US" w:eastAsia="zh-CN"/>
              </w:rPr>
              <w:t>（2分）</w:t>
            </w:r>
            <w:r>
              <w:rPr>
                <w:rFonts w:hint="default" w:ascii="Times New Roman" w:hAnsi="Times New Roman" w:eastAsia="宋体" w:cs="Times New Roman"/>
                <w:bCs w:val="0"/>
                <w:i w:val="0"/>
                <w:iCs w:val="0"/>
                <w:caps w:val="0"/>
                <w:spacing w:val="0"/>
                <w:sz w:val="24"/>
                <w:szCs w:val="20"/>
                <w:shd w:val="clear" w:color="auto" w:fill="auto"/>
              </w:rPr>
              <w:t>专业范围</w:t>
            </w:r>
            <w:r>
              <w:rPr>
                <w:rFonts w:hint="eastAsia" w:ascii="Times New Roman" w:hAnsi="Times New Roman" w:eastAsia="宋体" w:cs="Times New Roman"/>
                <w:bCs w:val="0"/>
                <w:i w:val="0"/>
                <w:iCs w:val="0"/>
                <w:caps w:val="0"/>
                <w:spacing w:val="0"/>
                <w:sz w:val="24"/>
                <w:szCs w:val="20"/>
                <w:shd w:val="clear" w:color="auto" w:fill="auto"/>
                <w:lang w:eastAsia="zh-CN"/>
              </w:rPr>
              <w:t>：</w:t>
            </w:r>
            <w:r>
              <w:rPr>
                <w:rFonts w:hint="default" w:ascii="Times New Roman" w:hAnsi="Times New Roman" w:eastAsia="宋体" w:cs="Times New Roman"/>
                <w:bCs w:val="0"/>
                <w:i w:val="0"/>
                <w:iCs w:val="0"/>
                <w:caps w:val="0"/>
                <w:spacing w:val="0"/>
                <w:sz w:val="24"/>
                <w:szCs w:val="20"/>
                <w:shd w:val="clear" w:color="auto" w:fill="auto"/>
              </w:rPr>
              <w:t>公司经营范围需包含节能科技服务，有太阳能、空气能热泵、热水器售后服务证书或特约经销商授权书优先</w:t>
            </w:r>
            <w:r>
              <w:rPr>
                <w:rFonts w:hint="default" w:ascii="Times New Roman" w:hAnsi="Times New Roman" w:eastAsia="宋体" w:cs="Times New Roman"/>
                <w:bCs w:val="0"/>
                <w:i w:val="0"/>
                <w:iCs w:val="0"/>
                <w:caps w:val="0"/>
                <w:spacing w:val="0"/>
                <w:sz w:val="24"/>
                <w:szCs w:val="20"/>
                <w:shd w:val="clear" w:color="auto" w:fill="auto"/>
                <w:lang w:eastAsia="zh-CN"/>
              </w:rPr>
              <w:t>，</w:t>
            </w:r>
            <w:r>
              <w:rPr>
                <w:rFonts w:hint="default" w:ascii="Times New Roman" w:hAnsi="Times New Roman" w:eastAsia="宋体" w:cs="Times New Roman"/>
                <w:bCs w:val="0"/>
                <w:i w:val="0"/>
                <w:iCs w:val="0"/>
                <w:caps w:val="0"/>
                <w:spacing w:val="0"/>
                <w:sz w:val="24"/>
                <w:szCs w:val="20"/>
                <w:shd w:val="clear" w:color="auto" w:fill="auto"/>
                <w:lang w:val="en-US" w:eastAsia="zh-CN"/>
              </w:rPr>
              <w:t>有其中之一授权书的得2分；</w:t>
            </w:r>
          </w:p>
          <w:p w14:paraId="305B43F5">
            <w:pPr>
              <w:keepNext w:val="0"/>
              <w:keepLines w:val="0"/>
              <w:pageBreakBefore w:val="0"/>
              <w:widowControl/>
              <w:kinsoku/>
              <w:wordWrap/>
              <w:overflowPunct/>
              <w:topLinePunct w:val="0"/>
              <w:autoSpaceDE/>
              <w:autoSpaceDN/>
              <w:bidi w:val="0"/>
              <w:adjustRightInd w:val="0"/>
              <w:snapToGrid w:val="0"/>
              <w:spacing w:after="0" w:afterLines="0" w:afterAutospacing="0" w:line="240" w:lineRule="auto"/>
              <w:ind w:firstLine="0" w:firstLineChars="0"/>
              <w:jc w:val="left"/>
              <w:textAlignment w:val="auto"/>
              <w:outlineLvl w:val="9"/>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kern w:val="2"/>
                <w:sz w:val="24"/>
                <w:szCs w:val="20"/>
                <w:lang w:val="en-US" w:eastAsia="zh-CN" w:bidi="ar-SA"/>
              </w:rPr>
              <w:t>（2分）质量管理体系</w:t>
            </w:r>
            <w:r>
              <w:rPr>
                <w:rFonts w:hint="default" w:ascii="Times New Roman" w:hAnsi="Times New Roman" w:eastAsia="宋体" w:cs="Times New Roman"/>
                <w:kern w:val="0"/>
                <w:sz w:val="24"/>
                <w:szCs w:val="20"/>
                <w:lang w:val="en-US" w:eastAsia="zh-CN" w:bidi="ar-SA"/>
              </w:rPr>
              <w:t>认证证书；</w:t>
            </w:r>
          </w:p>
          <w:p w14:paraId="6C8D76B1">
            <w:pPr>
              <w:keepNext w:val="0"/>
              <w:keepLines w:val="0"/>
              <w:pageBreakBefore w:val="0"/>
              <w:widowControl/>
              <w:kinsoku/>
              <w:wordWrap/>
              <w:overflowPunct/>
              <w:topLinePunct w:val="0"/>
              <w:autoSpaceDE/>
              <w:autoSpaceDN/>
              <w:bidi w:val="0"/>
              <w:adjustRightInd w:val="0"/>
              <w:snapToGrid w:val="0"/>
              <w:spacing w:after="0" w:afterLines="0" w:afterAutospacing="0" w:line="240" w:lineRule="auto"/>
              <w:ind w:firstLine="0" w:firstLineChars="0"/>
              <w:jc w:val="left"/>
              <w:textAlignment w:val="auto"/>
              <w:outlineLvl w:val="9"/>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kern w:val="0"/>
                <w:sz w:val="24"/>
                <w:szCs w:val="20"/>
                <w:lang w:val="en-US" w:eastAsia="zh-CN" w:bidi="ar-SA"/>
              </w:rPr>
              <w:t>（2分）职业健康安全管理体系认证证书；</w:t>
            </w:r>
          </w:p>
          <w:p w14:paraId="64CFF76C">
            <w:pPr>
              <w:keepNext w:val="0"/>
              <w:keepLines w:val="0"/>
              <w:pageBreakBefore w:val="0"/>
              <w:widowControl/>
              <w:kinsoku/>
              <w:wordWrap/>
              <w:overflowPunct/>
              <w:topLinePunct w:val="0"/>
              <w:autoSpaceDE/>
              <w:autoSpaceDN/>
              <w:bidi w:val="0"/>
              <w:adjustRightInd w:val="0"/>
              <w:snapToGrid w:val="0"/>
              <w:spacing w:after="0" w:afterLines="0" w:afterAutospacing="0" w:line="240" w:lineRule="auto"/>
              <w:ind w:firstLine="0" w:firstLineChars="0"/>
              <w:jc w:val="left"/>
              <w:textAlignment w:val="auto"/>
              <w:outlineLvl w:val="9"/>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kern w:val="0"/>
                <w:sz w:val="24"/>
                <w:szCs w:val="20"/>
                <w:lang w:val="en-US" w:eastAsia="zh-CN" w:bidi="ar-SA"/>
              </w:rPr>
              <w:t>（2分）环境管理体系认证证书。</w:t>
            </w:r>
          </w:p>
          <w:p w14:paraId="6BEEC462">
            <w:pPr>
              <w:keepNext w:val="0"/>
              <w:keepLines w:val="0"/>
              <w:pageBreakBefore w:val="0"/>
              <w:widowControl/>
              <w:kinsoku/>
              <w:wordWrap/>
              <w:overflowPunct/>
              <w:topLinePunct w:val="0"/>
              <w:autoSpaceDE/>
              <w:autoSpaceDN/>
              <w:bidi w:val="0"/>
              <w:adjustRightInd w:val="0"/>
              <w:snapToGrid w:val="0"/>
              <w:spacing w:after="0" w:afterLines="0" w:afterAutospacing="0" w:line="240" w:lineRule="auto"/>
              <w:ind w:firstLine="0" w:firstLineChars="0"/>
              <w:jc w:val="left"/>
              <w:textAlignment w:val="auto"/>
              <w:outlineLvl w:val="9"/>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sz w:val="24"/>
                <w:lang w:val="en-US" w:eastAsia="zh-CN"/>
              </w:rPr>
              <w:t>（2分）卫生许可证或安全生产许可证；</w:t>
            </w:r>
          </w:p>
          <w:p w14:paraId="59846CDD">
            <w:pPr>
              <w:keepNext w:val="0"/>
              <w:keepLines w:val="0"/>
              <w:pageBreakBefore w:val="0"/>
              <w:widowControl/>
              <w:kinsoku/>
              <w:wordWrap/>
              <w:overflowPunct/>
              <w:topLinePunct w:val="0"/>
              <w:autoSpaceDE/>
              <w:autoSpaceDN/>
              <w:bidi w:val="0"/>
              <w:adjustRightInd w:val="0"/>
              <w:snapToGrid w:val="0"/>
              <w:spacing w:after="0" w:afterLines="0" w:afterAutospacing="0" w:line="240" w:lineRule="auto"/>
              <w:ind w:firstLine="0" w:firstLineChars="0"/>
              <w:jc w:val="left"/>
              <w:textAlignment w:val="auto"/>
              <w:outlineLvl w:val="9"/>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lang w:val="en-US" w:eastAsia="zh-CN" w:bidi="ar-SA"/>
              </w:rPr>
              <w:t>投标时</w:t>
            </w:r>
            <w:r>
              <w:rPr>
                <w:rFonts w:hint="default" w:ascii="Times New Roman" w:hAnsi="Times New Roman" w:eastAsia="宋体" w:cs="Times New Roman"/>
                <w:sz w:val="24"/>
              </w:rPr>
              <w:t>提供资质证书扫描件（需在有效期内），原件备查</w:t>
            </w:r>
            <w:r>
              <w:rPr>
                <w:rFonts w:hint="default" w:ascii="Times New Roman" w:hAnsi="Times New Roman" w:eastAsia="宋体" w:cs="Times New Roman"/>
                <w:kern w:val="0"/>
                <w:sz w:val="24"/>
                <w:lang w:eastAsia="zh-CN"/>
              </w:rPr>
              <w:t>。</w:t>
            </w:r>
          </w:p>
        </w:tc>
        <w:tc>
          <w:tcPr>
            <w:tcW w:w="1105" w:type="dxa"/>
            <w:vAlign w:val="center"/>
          </w:tcPr>
          <w:p w14:paraId="6907E072">
            <w:pPr>
              <w:keepNext w:val="0"/>
              <w:keepLines w:val="0"/>
              <w:pageBreakBefore w:val="0"/>
              <w:widowControl w:val="0"/>
              <w:kinsoku/>
              <w:wordWrap/>
              <w:overflowPunct/>
              <w:topLinePunct w:val="0"/>
              <w:autoSpaceDE w:val="0"/>
              <w:autoSpaceDN w:val="0"/>
              <w:bidi w:val="0"/>
              <w:adjustRightInd w:val="0"/>
              <w:snapToGrid/>
              <w:spacing w:after="120" w:afterLines="0" w:afterAutospacing="0" w:line="264" w:lineRule="auto"/>
              <w:ind w:firstLine="0"/>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10</w:t>
            </w:r>
          </w:p>
        </w:tc>
      </w:tr>
      <w:tr w14:paraId="46B9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94" w:type="dxa"/>
            <w:vAlign w:val="center"/>
          </w:tcPr>
          <w:p w14:paraId="48724CD5">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6</w:t>
            </w:r>
          </w:p>
        </w:tc>
        <w:tc>
          <w:tcPr>
            <w:tcW w:w="2143" w:type="dxa"/>
            <w:vAlign w:val="center"/>
          </w:tcPr>
          <w:p w14:paraId="4C0899AA">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4"/>
                <w:lang w:val="en-US" w:eastAsia="zh-CN"/>
              </w:rPr>
              <w:t>团队</w:t>
            </w:r>
            <w:r>
              <w:rPr>
                <w:rFonts w:hint="default" w:ascii="Times New Roman" w:hAnsi="Times New Roman" w:eastAsia="宋体" w:cs="Times New Roman"/>
                <w:kern w:val="0"/>
                <w:sz w:val="24"/>
                <w:szCs w:val="24"/>
              </w:rPr>
              <w:t>资质</w:t>
            </w:r>
          </w:p>
        </w:tc>
        <w:tc>
          <w:tcPr>
            <w:tcW w:w="4714" w:type="dxa"/>
            <w:vAlign w:val="center"/>
          </w:tcPr>
          <w:p w14:paraId="5739ABCA">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项目团队应满足以下条件：具备有效的对应资质可得对应分数，资质等级不足或无对应资质，得0分。具体如下：</w:t>
            </w:r>
          </w:p>
          <w:p w14:paraId="4FFD95A6">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①（1分）项目经理：具有机电二级以上（含二级）建造师证、安全生产考核B证以上、制冷与空调作业证、高空作业证、熔化焊接与热切割证等；</w:t>
            </w:r>
          </w:p>
          <w:p w14:paraId="082AA8D5">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②（1分）技术负责人：</w:t>
            </w:r>
            <w:r>
              <w:rPr>
                <w:rFonts w:hint="default" w:ascii="Times New Roman" w:hAnsi="Times New Roman" w:eastAsia="宋体" w:cs="Times New Roman"/>
                <w:kern w:val="0"/>
                <w:sz w:val="24"/>
                <w:szCs w:val="20"/>
                <w:highlight w:val="none"/>
              </w:rPr>
              <w:t>具有制冷与空调作业证、高空作业证、熔化焊接与热切割证</w:t>
            </w:r>
            <w:r>
              <w:rPr>
                <w:rFonts w:hint="default" w:ascii="Times New Roman" w:hAnsi="Times New Roman" w:eastAsia="宋体" w:cs="Times New Roman"/>
                <w:kern w:val="0"/>
                <w:sz w:val="24"/>
                <w:szCs w:val="20"/>
                <w:highlight w:val="none"/>
                <w:lang w:val="en-US" w:eastAsia="zh-CN"/>
              </w:rPr>
              <w:t>等</w:t>
            </w:r>
            <w:r>
              <w:rPr>
                <w:rFonts w:hint="default" w:ascii="Times New Roman" w:hAnsi="Times New Roman" w:eastAsia="宋体" w:cs="Times New Roman"/>
                <w:kern w:val="0"/>
                <w:sz w:val="24"/>
                <w:szCs w:val="20"/>
                <w:highlight w:val="none"/>
              </w:rPr>
              <w:t>；</w:t>
            </w:r>
          </w:p>
          <w:p w14:paraId="7E2616AF">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③（1分）</w:t>
            </w:r>
            <w:r>
              <w:rPr>
                <w:rFonts w:hint="default" w:ascii="Times New Roman" w:hAnsi="Times New Roman" w:eastAsia="宋体" w:cs="Times New Roman"/>
                <w:b w:val="0"/>
                <w:bCs w:val="0"/>
                <w:kern w:val="0"/>
                <w:sz w:val="24"/>
                <w:szCs w:val="20"/>
                <w:highlight w:val="none"/>
              </w:rPr>
              <w:t>安全负责人：</w:t>
            </w:r>
            <w:r>
              <w:rPr>
                <w:rFonts w:hint="default" w:ascii="Times New Roman" w:hAnsi="Times New Roman" w:eastAsia="宋体" w:cs="Times New Roman"/>
                <w:kern w:val="0"/>
                <w:sz w:val="24"/>
                <w:szCs w:val="20"/>
                <w:highlight w:val="none"/>
              </w:rPr>
              <w:t>具有安全生产考核C证、制冷与空调作业证、高空作业证、电工作业证</w:t>
            </w:r>
            <w:r>
              <w:rPr>
                <w:rFonts w:hint="default" w:ascii="Times New Roman" w:hAnsi="Times New Roman" w:eastAsia="宋体" w:cs="Times New Roman"/>
                <w:kern w:val="0"/>
                <w:sz w:val="24"/>
                <w:szCs w:val="20"/>
                <w:highlight w:val="none"/>
                <w:lang w:val="en-US" w:eastAsia="zh-CN"/>
              </w:rPr>
              <w:t>等</w:t>
            </w:r>
            <w:r>
              <w:rPr>
                <w:rFonts w:hint="default" w:ascii="Times New Roman" w:hAnsi="Times New Roman" w:eastAsia="宋体" w:cs="Times New Roman"/>
                <w:kern w:val="0"/>
                <w:sz w:val="24"/>
                <w:szCs w:val="20"/>
                <w:highlight w:val="none"/>
              </w:rPr>
              <w:t>；</w:t>
            </w:r>
          </w:p>
          <w:p w14:paraId="217FA2FD">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④（2分）维修技术人员：</w:t>
            </w:r>
            <w:r>
              <w:rPr>
                <w:rFonts w:hint="default" w:ascii="Times New Roman" w:hAnsi="Times New Roman" w:eastAsia="宋体" w:cs="Times New Roman"/>
                <w:kern w:val="0"/>
                <w:sz w:val="24"/>
                <w:szCs w:val="20"/>
                <w:highlight w:val="none"/>
              </w:rPr>
              <w:t>具有高空作业证、电工作业证、制冷与空调作业证，熔化焊接与热切割证</w:t>
            </w:r>
            <w:r>
              <w:rPr>
                <w:rFonts w:hint="default" w:ascii="Times New Roman" w:hAnsi="Times New Roman" w:eastAsia="宋体" w:cs="Times New Roman"/>
                <w:kern w:val="0"/>
                <w:sz w:val="24"/>
                <w:szCs w:val="20"/>
                <w:highlight w:val="none"/>
                <w:lang w:val="en-US" w:eastAsia="zh-CN"/>
              </w:rPr>
              <w:t>等</w:t>
            </w:r>
            <w:r>
              <w:rPr>
                <w:rFonts w:hint="eastAsia" w:ascii="Times New Roman" w:hAnsi="Times New Roman" w:eastAsia="宋体" w:cs="Times New Roman"/>
                <w:kern w:val="0"/>
                <w:sz w:val="24"/>
                <w:szCs w:val="20"/>
                <w:highlight w:val="none"/>
                <w:lang w:val="en-US" w:eastAsia="zh-CN"/>
              </w:rPr>
              <w:t>。</w:t>
            </w:r>
          </w:p>
          <w:p w14:paraId="6891FA5B">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以上人数至少5人，每少1人扣1分，扣完为止。</w:t>
            </w:r>
          </w:p>
          <w:p w14:paraId="72519901">
            <w:pPr>
              <w:keepNext w:val="0"/>
              <w:keepLines w:val="0"/>
              <w:pageBreakBefore w:val="0"/>
              <w:widowControl/>
              <w:numPr>
                <w:ilvl w:val="0"/>
                <w:numId w:val="0"/>
              </w:numPr>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（5分）以上人员均为非临时聘用人员，由投标单位购买6个月以上社会保险，每缺少1份社保证明，扣1分，扣完为止。</w:t>
            </w:r>
          </w:p>
          <w:p w14:paraId="301E15B4">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rPr>
              <w:t>投标时提供</w:t>
            </w:r>
            <w:r>
              <w:rPr>
                <w:rFonts w:hint="default" w:ascii="Times New Roman" w:hAnsi="Times New Roman" w:eastAsia="宋体" w:cs="Times New Roman"/>
                <w:kern w:val="0"/>
                <w:sz w:val="24"/>
                <w:szCs w:val="20"/>
                <w:lang w:eastAsia="zh-CN"/>
              </w:rPr>
              <w:t>：</w:t>
            </w:r>
          </w:p>
          <w:p w14:paraId="183E87D5">
            <w:pPr>
              <w:rPr>
                <w:rFonts w:hint="default" w:ascii="Times New Roman" w:hAnsi="Times New Roman" w:cs="Times New Roman"/>
              </w:rPr>
            </w:pPr>
            <w:r>
              <w:rPr>
                <w:rFonts w:hint="default" w:ascii="Times New Roman" w:hAnsi="Times New Roman" w:eastAsia="宋体" w:cs="Times New Roman"/>
                <w:kern w:val="0"/>
                <w:sz w:val="24"/>
                <w:szCs w:val="20"/>
                <w:lang w:val="en-US" w:eastAsia="zh-CN"/>
              </w:rPr>
              <w:t>①项目团队名单，包含人员姓名、岗位、资质和社保购买情况；</w:t>
            </w:r>
          </w:p>
          <w:p w14:paraId="1040295F">
            <w:pPr>
              <w:rPr>
                <w:rFonts w:hint="default" w:ascii="Times New Roman" w:hAnsi="Times New Roman" w:cs="Times New Roman"/>
              </w:rPr>
            </w:pPr>
            <w:r>
              <w:rPr>
                <w:rFonts w:hint="default" w:ascii="Times New Roman" w:hAnsi="Times New Roman" w:eastAsia="宋体" w:cs="Times New Roman"/>
                <w:kern w:val="0"/>
                <w:sz w:val="24"/>
                <w:szCs w:val="20"/>
                <w:lang w:val="en-US" w:eastAsia="zh-CN"/>
              </w:rPr>
              <w:t>②</w:t>
            </w:r>
            <w:r>
              <w:rPr>
                <w:rFonts w:hint="default" w:ascii="Times New Roman" w:hAnsi="Times New Roman" w:eastAsia="宋体" w:cs="Times New Roman"/>
                <w:kern w:val="0"/>
                <w:sz w:val="24"/>
                <w:szCs w:val="20"/>
              </w:rPr>
              <w:t>人员资质证书扫描件（需标注对应人员姓名及岗位）</w:t>
            </w:r>
            <w:r>
              <w:rPr>
                <w:rFonts w:hint="default" w:ascii="Times New Roman" w:hAnsi="Times New Roman" w:eastAsia="宋体" w:cs="Times New Roman"/>
                <w:kern w:val="0"/>
                <w:sz w:val="24"/>
                <w:szCs w:val="20"/>
                <w:lang w:eastAsia="zh-CN"/>
              </w:rPr>
              <w:t>，</w:t>
            </w:r>
            <w:r>
              <w:rPr>
                <w:rFonts w:hint="default" w:ascii="Times New Roman" w:hAnsi="Times New Roman" w:eastAsia="宋体" w:cs="Times New Roman"/>
                <w:kern w:val="0"/>
                <w:sz w:val="24"/>
                <w:szCs w:val="20"/>
                <w:lang w:val="en-US" w:eastAsia="zh-CN"/>
              </w:rPr>
              <w:t>原件备查；</w:t>
            </w:r>
          </w:p>
          <w:p w14:paraId="41D4936A">
            <w:pPr>
              <w:keepNext w:val="0"/>
              <w:keepLines w:val="0"/>
              <w:pageBreakBefore w:val="0"/>
              <w:widowControl/>
              <w:kinsoku/>
              <w:wordWrap/>
              <w:overflowPunct/>
              <w:topLinePunct w:val="0"/>
              <w:autoSpaceDE w:val="0"/>
              <w:autoSpaceDN w:val="0"/>
              <w:bidi w:val="0"/>
              <w:adjustRightInd w:val="0"/>
              <w:snapToGrid/>
              <w:spacing w:after="0" w:afterLines="0" w:afterAutospacing="0" w:line="264" w:lineRule="auto"/>
              <w:ind w:firstLine="480" w:firstLineChars="200"/>
              <w:jc w:val="left"/>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kern w:val="0"/>
                <w:sz w:val="24"/>
                <w:szCs w:val="20"/>
                <w:lang w:val="en-US" w:eastAsia="zh-CN"/>
              </w:rPr>
              <w:t>③社保证明复印件（6个月以上），加盖公章</w:t>
            </w:r>
            <w:r>
              <w:rPr>
                <w:rFonts w:hint="default" w:ascii="Times New Roman" w:hAnsi="Times New Roman" w:eastAsia="宋体" w:cs="Times New Roman"/>
                <w:kern w:val="0"/>
                <w:sz w:val="24"/>
                <w:szCs w:val="20"/>
                <w:lang w:eastAsia="zh-CN"/>
              </w:rPr>
              <w:t>。</w:t>
            </w:r>
          </w:p>
        </w:tc>
        <w:tc>
          <w:tcPr>
            <w:tcW w:w="1105" w:type="dxa"/>
            <w:vAlign w:val="center"/>
          </w:tcPr>
          <w:p w14:paraId="35AD2EC4">
            <w:pPr>
              <w:keepNext w:val="0"/>
              <w:keepLines w:val="0"/>
              <w:pageBreakBefore w:val="0"/>
              <w:widowControl w:val="0"/>
              <w:kinsoku/>
              <w:wordWrap/>
              <w:overflowPunct/>
              <w:topLinePunct w:val="0"/>
              <w:autoSpaceDE w:val="0"/>
              <w:autoSpaceDN w:val="0"/>
              <w:bidi w:val="0"/>
              <w:adjustRightInd w:val="0"/>
              <w:snapToGrid/>
              <w:spacing w:after="120" w:afterLines="0" w:afterAutospacing="0" w:line="264" w:lineRule="auto"/>
              <w:ind w:firstLine="0"/>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10</w:t>
            </w:r>
          </w:p>
        </w:tc>
      </w:tr>
      <w:tr w14:paraId="0547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vAlign w:val="center"/>
          </w:tcPr>
          <w:p w14:paraId="35F0AE49">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7</w:t>
            </w:r>
          </w:p>
        </w:tc>
        <w:tc>
          <w:tcPr>
            <w:tcW w:w="2143" w:type="dxa"/>
            <w:vAlign w:val="center"/>
          </w:tcPr>
          <w:p w14:paraId="215E97CB">
            <w:pPr>
              <w:keepNext w:val="0"/>
              <w:keepLines w:val="0"/>
              <w:pageBreakBefore w:val="0"/>
              <w:tabs>
                <w:tab w:val="left" w:pos="840"/>
              </w:tabs>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bCs/>
                <w:kern w:val="0"/>
                <w:sz w:val="24"/>
                <w:szCs w:val="20"/>
                <w:lang w:eastAsia="zh-CN"/>
              </w:rPr>
            </w:pPr>
            <w:r>
              <w:rPr>
                <w:rFonts w:hint="default" w:ascii="Times New Roman" w:hAnsi="Times New Roman" w:eastAsia="宋体" w:cs="Times New Roman"/>
                <w:kern w:val="0"/>
                <w:sz w:val="24"/>
                <w:szCs w:val="24"/>
              </w:rPr>
              <w:t>同类项目业绩情况</w:t>
            </w:r>
          </w:p>
        </w:tc>
        <w:tc>
          <w:tcPr>
            <w:tcW w:w="4714" w:type="dxa"/>
            <w:vAlign w:val="center"/>
          </w:tcPr>
          <w:p w14:paraId="36580534">
            <w:pPr>
              <w:keepNext w:val="0"/>
              <w:keepLines w:val="0"/>
              <w:pageBreakBefore w:val="0"/>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（5分）承接同类业绩情况，每提供一份合同得1分，最高得5分；未提供证明材料或证明材料不清晰的，不得分。</w:t>
            </w:r>
          </w:p>
          <w:p w14:paraId="7725C81D">
            <w:pPr>
              <w:keepNext w:val="0"/>
              <w:keepLines w:val="0"/>
              <w:pageBreakBefore w:val="0"/>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投标时提供：合同关键页复印件（合同须体现合同内容、合同双方、合同签订日期、双方盖章）</w:t>
            </w:r>
          </w:p>
          <w:p w14:paraId="2ED9E581">
            <w:pPr>
              <w:keepNext w:val="0"/>
              <w:keepLines w:val="0"/>
              <w:pageBreakBefore w:val="0"/>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sz w:val="24"/>
                <w:szCs w:val="20"/>
                <w:lang w:val="en-US" w:eastAsia="zh-CN" w:bidi="ar-SA"/>
              </w:rPr>
            </w:pPr>
          </w:p>
        </w:tc>
        <w:tc>
          <w:tcPr>
            <w:tcW w:w="1105" w:type="dxa"/>
            <w:vAlign w:val="center"/>
          </w:tcPr>
          <w:p w14:paraId="2BC87434">
            <w:pPr>
              <w:keepNext w:val="0"/>
              <w:keepLines w:val="0"/>
              <w:pageBreakBefore w:val="0"/>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5</w:t>
            </w:r>
          </w:p>
        </w:tc>
      </w:tr>
      <w:tr w14:paraId="03C4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494" w:type="dxa"/>
            <w:vAlign w:val="center"/>
          </w:tcPr>
          <w:p w14:paraId="4BC8EB24">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8</w:t>
            </w:r>
          </w:p>
        </w:tc>
        <w:tc>
          <w:tcPr>
            <w:tcW w:w="2143" w:type="dxa"/>
            <w:vAlign w:val="center"/>
          </w:tcPr>
          <w:p w14:paraId="16AED01A">
            <w:pPr>
              <w:keepNext w:val="0"/>
              <w:keepLines w:val="0"/>
              <w:pageBreakBefore w:val="0"/>
              <w:tabs>
                <w:tab w:val="left" w:pos="840"/>
              </w:tabs>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bCs/>
                <w:kern w:val="0"/>
                <w:sz w:val="24"/>
                <w:szCs w:val="20"/>
                <w:lang w:val="en-US" w:eastAsia="zh-CN"/>
              </w:rPr>
            </w:pPr>
            <w:r>
              <w:rPr>
                <w:rFonts w:hint="default" w:ascii="Times New Roman" w:hAnsi="Times New Roman" w:eastAsia="宋体" w:cs="Times New Roman"/>
                <w:bCs/>
                <w:kern w:val="0"/>
                <w:sz w:val="24"/>
              </w:rPr>
              <w:t>同类项目评价情况</w:t>
            </w:r>
          </w:p>
        </w:tc>
        <w:tc>
          <w:tcPr>
            <w:tcW w:w="4714" w:type="dxa"/>
            <w:vAlign w:val="center"/>
          </w:tcPr>
          <w:p w14:paraId="0EAD422F">
            <w:pPr>
              <w:keepNext w:val="0"/>
              <w:keepLines w:val="0"/>
              <w:pageBreakBefore w:val="0"/>
              <w:kinsoku/>
              <w:wordWrap/>
              <w:overflowPunct/>
              <w:topLinePunct w:val="0"/>
              <w:autoSpaceDE w:val="0"/>
              <w:autoSpaceDN w:val="0"/>
              <w:bidi w:val="0"/>
              <w:adjustRightInd w:val="0"/>
              <w:snapToGrid/>
              <w:spacing w:line="264" w:lineRule="auto"/>
              <w:ind w:firstLine="0" w:firstLineChars="0"/>
              <w:jc w:val="left"/>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bCs w:val="0"/>
                <w:color w:val="000000"/>
                <w:sz w:val="24"/>
                <w:szCs w:val="20"/>
              </w:rPr>
              <w:t>以上业绩情况中有效计分的业绩通过验收或出具用户意见书（用户评价合格及以上档次，如合格、优秀、良好、满意或相当于类似评价），每提供1份得</w:t>
            </w:r>
            <w:r>
              <w:rPr>
                <w:rFonts w:hint="default" w:ascii="Times New Roman" w:hAnsi="Times New Roman" w:eastAsia="宋体" w:cs="Times New Roman"/>
                <w:bCs w:val="0"/>
                <w:color w:val="000000"/>
                <w:sz w:val="24"/>
                <w:szCs w:val="20"/>
                <w:highlight w:val="none"/>
              </w:rPr>
              <w:t>1</w:t>
            </w:r>
            <w:r>
              <w:rPr>
                <w:rFonts w:hint="default" w:ascii="Times New Roman" w:hAnsi="Times New Roman" w:eastAsia="宋体" w:cs="Times New Roman"/>
                <w:bCs w:val="0"/>
                <w:color w:val="000000"/>
                <w:sz w:val="24"/>
                <w:szCs w:val="20"/>
              </w:rPr>
              <w:t>分，最高得</w:t>
            </w:r>
            <w:r>
              <w:rPr>
                <w:rFonts w:hint="default" w:ascii="Times New Roman" w:hAnsi="Times New Roman" w:eastAsia="宋体" w:cs="Times New Roman"/>
                <w:bCs w:val="0"/>
                <w:color w:val="000000"/>
                <w:sz w:val="24"/>
                <w:szCs w:val="20"/>
                <w:lang w:val="en-US" w:eastAsia="zh-CN"/>
              </w:rPr>
              <w:t>5</w:t>
            </w:r>
            <w:r>
              <w:rPr>
                <w:rFonts w:hint="default" w:ascii="Times New Roman" w:hAnsi="Times New Roman" w:eastAsia="宋体" w:cs="Times New Roman"/>
                <w:bCs w:val="0"/>
                <w:color w:val="000000"/>
                <w:sz w:val="24"/>
                <w:szCs w:val="20"/>
              </w:rPr>
              <w:t>分（提供合同甲方或甲方项目主管部门盖章的评价文件复印件）。</w:t>
            </w:r>
          </w:p>
        </w:tc>
        <w:tc>
          <w:tcPr>
            <w:tcW w:w="1105" w:type="dxa"/>
            <w:vAlign w:val="center"/>
          </w:tcPr>
          <w:p w14:paraId="7A824243">
            <w:pPr>
              <w:keepNext w:val="0"/>
              <w:keepLines w:val="0"/>
              <w:pageBreakBefore w:val="0"/>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5</w:t>
            </w:r>
          </w:p>
        </w:tc>
      </w:tr>
      <w:tr w14:paraId="1BF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94" w:type="dxa"/>
            <w:vAlign w:val="center"/>
          </w:tcPr>
          <w:p w14:paraId="5A6721E8">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三</w:t>
            </w:r>
          </w:p>
        </w:tc>
        <w:tc>
          <w:tcPr>
            <w:tcW w:w="7962" w:type="dxa"/>
            <w:gridSpan w:val="3"/>
            <w:vAlign w:val="center"/>
          </w:tcPr>
          <w:p w14:paraId="2AAA3159">
            <w:pPr>
              <w:keepNext w:val="0"/>
              <w:keepLines w:val="0"/>
              <w:pageBreakBefore w:val="0"/>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b/>
                <w:kern w:val="0"/>
                <w:sz w:val="24"/>
                <w:szCs w:val="20"/>
                <w:lang w:val="en-US" w:eastAsia="zh-CN"/>
              </w:rPr>
              <w:t>报价部分</w:t>
            </w:r>
            <w:r>
              <w:rPr>
                <w:rFonts w:hint="default" w:ascii="Times New Roman" w:hAnsi="Times New Roman" w:eastAsia="宋体" w:cs="Times New Roman"/>
                <w:b/>
                <w:kern w:val="0"/>
                <w:sz w:val="24"/>
                <w:szCs w:val="20"/>
              </w:rPr>
              <w:t>（合计</w:t>
            </w:r>
            <w:r>
              <w:rPr>
                <w:rFonts w:hint="default" w:ascii="Times New Roman" w:hAnsi="Times New Roman" w:eastAsia="宋体" w:cs="Times New Roman"/>
                <w:b/>
                <w:kern w:val="0"/>
                <w:sz w:val="24"/>
                <w:szCs w:val="20"/>
                <w:lang w:val="en-US" w:eastAsia="zh-CN"/>
              </w:rPr>
              <w:t>30</w:t>
            </w:r>
            <w:r>
              <w:rPr>
                <w:rFonts w:hint="default" w:ascii="Times New Roman" w:hAnsi="Times New Roman" w:eastAsia="宋体" w:cs="Times New Roman"/>
                <w:b/>
                <w:kern w:val="0"/>
                <w:sz w:val="24"/>
                <w:szCs w:val="20"/>
              </w:rPr>
              <w:t>分）</w:t>
            </w:r>
          </w:p>
        </w:tc>
      </w:tr>
      <w:tr w14:paraId="3A6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94" w:type="dxa"/>
            <w:vAlign w:val="center"/>
          </w:tcPr>
          <w:p w14:paraId="745DB3F3">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9</w:t>
            </w:r>
          </w:p>
        </w:tc>
        <w:tc>
          <w:tcPr>
            <w:tcW w:w="2143" w:type="dxa"/>
            <w:vAlign w:val="center"/>
          </w:tcPr>
          <w:p w14:paraId="7FA224A1">
            <w:pPr>
              <w:keepNext w:val="0"/>
              <w:keepLines w:val="0"/>
              <w:pageBreakBefore w:val="0"/>
              <w:tabs>
                <w:tab w:val="left" w:pos="840"/>
              </w:tabs>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bCs/>
                <w:kern w:val="0"/>
                <w:sz w:val="24"/>
                <w:szCs w:val="20"/>
                <w:lang w:val="en-US" w:eastAsia="zh-CN"/>
              </w:rPr>
            </w:pPr>
            <w:r>
              <w:rPr>
                <w:rFonts w:hint="default" w:ascii="Times New Roman" w:hAnsi="Times New Roman" w:eastAsia="宋体" w:cs="Times New Roman"/>
                <w:bCs/>
                <w:kern w:val="0"/>
                <w:sz w:val="24"/>
                <w:szCs w:val="20"/>
                <w:lang w:val="en-US" w:eastAsia="zh-CN"/>
              </w:rPr>
              <w:t>投标报价</w:t>
            </w:r>
          </w:p>
        </w:tc>
        <w:tc>
          <w:tcPr>
            <w:tcW w:w="4714" w:type="dxa"/>
            <w:vAlign w:val="center"/>
          </w:tcPr>
          <w:p w14:paraId="7FA1E0D9">
            <w:pPr>
              <w:keepNext w:val="0"/>
              <w:keepLines w:val="0"/>
              <w:pageBreakBefore w:val="0"/>
              <w:widowControl/>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bidi="ar-SA"/>
              </w:rPr>
              <w:t>投标报价得分</w:t>
            </w:r>
            <w:r>
              <w:rPr>
                <w:rFonts w:hint="default" w:ascii="Times New Roman" w:hAnsi="Times New Roman" w:eastAsia="宋体" w:cs="Times New Roman"/>
                <w:kern w:val="0"/>
                <w:sz w:val="24"/>
                <w:szCs w:val="20"/>
                <w:lang w:val="en-US" w:eastAsia="zh-CN"/>
              </w:rPr>
              <w:t>＝（评标基准价/投标报价）×价格分值</w:t>
            </w:r>
          </w:p>
          <w:p w14:paraId="37A9A3B4">
            <w:pPr>
              <w:keepNext w:val="0"/>
              <w:keepLines w:val="0"/>
              <w:pageBreakBefore w:val="0"/>
              <w:widowControl/>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备注：以三年维保总报价作为投标报价，评标基准价为所有有效投标报价中的最低报价；投标报价得分四舍五入后，小数点后保留两位有效数。</w:t>
            </w:r>
          </w:p>
          <w:p w14:paraId="4EE511EA">
            <w:pPr>
              <w:keepNext w:val="0"/>
              <w:keepLines w:val="0"/>
              <w:pageBreakBefore w:val="0"/>
              <w:widowControl/>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投标时提供：三年维保期每年的维保报价及三年维保总价（</w:t>
            </w:r>
            <w:r>
              <w:rPr>
                <w:rFonts w:hint="default" w:ascii="Times New Roman" w:hAnsi="Times New Roman" w:eastAsia="仿宋_GB2312" w:cs="Times New Roman"/>
                <w:bCs/>
                <w:sz w:val="24"/>
                <w:szCs w:val="24"/>
                <w:vertAlign w:val="baseline"/>
                <w:lang w:val="en-US" w:eastAsia="zh-CN"/>
              </w:rPr>
              <w:t>第一年维保报价里面需剔除那些仍在保的设备维保到期前的维保工作量后再报价）。</w:t>
            </w:r>
          </w:p>
        </w:tc>
        <w:tc>
          <w:tcPr>
            <w:tcW w:w="1105" w:type="dxa"/>
            <w:vAlign w:val="center"/>
          </w:tcPr>
          <w:p w14:paraId="5AB84743">
            <w:pPr>
              <w:keepNext w:val="0"/>
              <w:keepLines w:val="0"/>
              <w:pageBreakBefore w:val="0"/>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25</w:t>
            </w:r>
          </w:p>
        </w:tc>
      </w:tr>
      <w:tr w14:paraId="7810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94" w:type="dxa"/>
            <w:vAlign w:val="center"/>
          </w:tcPr>
          <w:p w14:paraId="58E082C5">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10</w:t>
            </w:r>
          </w:p>
        </w:tc>
        <w:tc>
          <w:tcPr>
            <w:tcW w:w="2143" w:type="dxa"/>
            <w:vAlign w:val="center"/>
          </w:tcPr>
          <w:p w14:paraId="62991E00">
            <w:pPr>
              <w:keepNext w:val="0"/>
              <w:keepLines w:val="0"/>
              <w:pageBreakBefore w:val="0"/>
              <w:tabs>
                <w:tab w:val="left" w:pos="840"/>
              </w:tabs>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bCs/>
                <w:kern w:val="0"/>
                <w:sz w:val="24"/>
                <w:szCs w:val="20"/>
                <w:lang w:val="en-US" w:eastAsia="zh-CN"/>
              </w:rPr>
            </w:pPr>
            <w:r>
              <w:rPr>
                <w:rFonts w:hint="default" w:ascii="Times New Roman" w:hAnsi="Times New Roman" w:eastAsia="宋体" w:cs="Times New Roman"/>
                <w:bCs/>
                <w:kern w:val="0"/>
                <w:sz w:val="24"/>
                <w:szCs w:val="20"/>
                <w:lang w:val="en-US" w:eastAsia="zh-CN"/>
              </w:rPr>
              <w:t>单价下浮率报价</w:t>
            </w:r>
          </w:p>
        </w:tc>
        <w:tc>
          <w:tcPr>
            <w:tcW w:w="4714" w:type="dxa"/>
            <w:vAlign w:val="center"/>
          </w:tcPr>
          <w:p w14:paraId="54B69704">
            <w:pPr>
              <w:keepNext w:val="0"/>
              <w:keepLines w:val="0"/>
              <w:pageBreakBefore w:val="0"/>
              <w:widowControl/>
              <w:kinsoku/>
              <w:wordWrap/>
              <w:overflowPunct/>
              <w:topLinePunct w:val="0"/>
              <w:autoSpaceDE w:val="0"/>
              <w:autoSpaceDN w:val="0"/>
              <w:bidi w:val="0"/>
              <w:adjustRightInd w:val="0"/>
              <w:snapToGrid/>
              <w:spacing w:line="264" w:lineRule="auto"/>
              <w:ind w:firstLine="480" w:firstLineChars="200"/>
              <w:jc w:val="left"/>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bidi="ar-SA"/>
              </w:rPr>
              <w:t>投标报价得分</w:t>
            </w:r>
            <w:r>
              <w:rPr>
                <w:rFonts w:hint="default" w:ascii="Times New Roman" w:hAnsi="Times New Roman" w:eastAsia="宋体" w:cs="Times New Roman"/>
                <w:kern w:val="0"/>
                <w:sz w:val="24"/>
                <w:szCs w:val="20"/>
                <w:lang w:val="en-US" w:eastAsia="zh-CN"/>
              </w:rPr>
              <w:t>＝（投标报价/评标基准价）×价格分值</w:t>
            </w:r>
          </w:p>
        </w:tc>
        <w:tc>
          <w:tcPr>
            <w:tcW w:w="1105" w:type="dxa"/>
            <w:vAlign w:val="center"/>
          </w:tcPr>
          <w:p w14:paraId="0A15AF55">
            <w:pPr>
              <w:keepNext w:val="0"/>
              <w:keepLines w:val="0"/>
              <w:pageBreakBefore w:val="0"/>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5</w:t>
            </w:r>
          </w:p>
        </w:tc>
      </w:tr>
      <w:tr w14:paraId="40C6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51" w:type="dxa"/>
            <w:gridSpan w:val="3"/>
            <w:vAlign w:val="center"/>
          </w:tcPr>
          <w:p w14:paraId="26FE3AF3">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合计</w:t>
            </w:r>
          </w:p>
        </w:tc>
        <w:tc>
          <w:tcPr>
            <w:tcW w:w="1105" w:type="dxa"/>
            <w:vAlign w:val="center"/>
          </w:tcPr>
          <w:p w14:paraId="4FB607FE">
            <w:pPr>
              <w:keepNext w:val="0"/>
              <w:keepLines w:val="0"/>
              <w:pageBreakBefore w:val="0"/>
              <w:widowControl/>
              <w:kinsoku/>
              <w:wordWrap/>
              <w:overflowPunct/>
              <w:topLinePunct w:val="0"/>
              <w:autoSpaceDE w:val="0"/>
              <w:autoSpaceDN w:val="0"/>
              <w:bidi w:val="0"/>
              <w:adjustRightInd w:val="0"/>
              <w:snapToGrid/>
              <w:spacing w:line="264" w:lineRule="auto"/>
              <w:jc w:val="center"/>
              <w:textAlignment w:val="auto"/>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100</w:t>
            </w:r>
          </w:p>
        </w:tc>
      </w:tr>
    </w:tbl>
    <w:p w14:paraId="6B9846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68B6B"/>
    <w:multiLevelType w:val="singleLevel"/>
    <w:tmpl w:val="11668B6B"/>
    <w:lvl w:ilvl="0" w:tentative="0">
      <w:start w:val="1"/>
      <w:numFmt w:val="decimal"/>
      <w:suff w:val="space"/>
      <w:lvlText w:val="%1."/>
      <w:lvlJc w:val="left"/>
    </w:lvl>
  </w:abstractNum>
  <w:abstractNum w:abstractNumId="1">
    <w:nsid w:val="2D12EF26"/>
    <w:multiLevelType w:val="singleLevel"/>
    <w:tmpl w:val="2D12EF2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1573B"/>
    <w:rsid w:val="1831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99"/>
    <w:pPr>
      <w:widowControl w:val="0"/>
      <w:spacing w:after="12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2026-01-07T08:04:00Z</dcterms:created>
  <dc:creator>卑微小虎崽</dc:creator>
  <cp:lastModifiedBy>卑微小虎崽</cp:lastModifiedBy>
  <dcterms:modified xsi:type="dcterms:W3CDTF">2026-01-07T08:08:44Z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DAFD04FCE4F6451EB72E73678F817872_11</vt:lpwstr>
  </property>
  <property fmtid="{D5CDD505-2E9C-101B-9397-08002B2CF9AE}" pid="4" name="KSOTemplateDocerSaveRecord">
    <vt:lpwstr>eyJoZGlkIjoiYzZkNzQ4ZWFiZmQ4NTRhOWRkZTk3YTMwMjlmMmZhYmUiLCJ1c2VySWQiOiIxMzQ0MTYwMDk1In0=</vt:lpwstr>
  </property>
</Properties>
</file>