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6E35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3</w:t>
      </w:r>
    </w:p>
    <w:p w14:paraId="1D78C875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jc w:val="center"/>
        <w:rPr>
          <w:rFonts w:hAnsi="Times New Roman" w:eastAsia="方正小标宋_GBK"/>
          <w:color w:val="000000"/>
          <w:sz w:val="44"/>
          <w:szCs w:val="44"/>
          <w:lang w:val="zh-CN"/>
        </w:rPr>
      </w:pPr>
      <w:r>
        <w:rPr>
          <w:rFonts w:hAnsi="Times New Roman" w:eastAsia="方正小标宋_GBK"/>
          <w:color w:val="000000"/>
          <w:sz w:val="44"/>
          <w:szCs w:val="44"/>
          <w:lang w:val="zh-CN"/>
        </w:rPr>
        <w:t>平台架构要求</w:t>
      </w:r>
    </w:p>
    <w:p w14:paraId="546606E9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bookmarkStart w:id="0" w:name="_Toc167667211"/>
      <w:r>
        <w:rPr>
          <w:rFonts w:hAnsi="Times New Roman" w:eastAsia="黑体"/>
          <w:color w:val="000000"/>
          <w:sz w:val="32"/>
        </w:rPr>
        <w:t>（一）平台技术要求</w:t>
      </w:r>
    </w:p>
    <w:p w14:paraId="4CC78BF8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（1）设计开发要规范：平台系统开发应遵循国家成熟的、通用的标准、规范和协议，要遵照执行国家颁布的现有</w:t>
      </w:r>
      <w:bookmarkStart w:id="24" w:name="_GoBack"/>
      <w:bookmarkEnd w:id="24"/>
      <w:r>
        <w:rPr>
          <w:rFonts w:hAnsi="Times New Roman" w:eastAsia="仿宋_GB2312"/>
          <w:color w:val="000000"/>
          <w:sz w:val="32"/>
          <w:shd w:val="clear" w:color="auto" w:fill="FFFFFF"/>
        </w:rPr>
        <w:t>法律、标准以及即将推出的各类规范、本省和本地区有关技术规范和技术要求等。</w:t>
      </w:r>
    </w:p>
    <w:p w14:paraId="342F83A1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（2）产品技术要成熟：采用成熟的产品技术平台，不允许在实施过程中做试验性开发或产品试用，确保工程建设质量和进度，防范开发集成过程中的技术风险。</w:t>
      </w:r>
    </w:p>
    <w:p w14:paraId="0000C8A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（3）系统架构：</w:t>
      </w: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>采用新一代云原生办公与应用平台架构，基于微服务、容器化和 API 接口实现系统解耦，通过标准化 REST 接口与现有业务系统对接。平台支持多终端访问（Web、移动端），具备高可用、高并发和弹性扩展能力，能够满足现代医院协同与业务集成需求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；</w:t>
      </w:r>
    </w:p>
    <w:p w14:paraId="0086460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（4）基于 B/S 结构、高度兼容多种内核的多类型版本的浏览器，提供友好的客户端界面；</w:t>
      </w:r>
    </w:p>
    <w:p w14:paraId="51C0D4A3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（5）支持开放的标准（J2EE 等）。</w:t>
      </w:r>
    </w:p>
    <w:p w14:paraId="3FB97598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（二）平台国产化要求</w:t>
      </w:r>
    </w:p>
    <w:p w14:paraId="5EDFAE9D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全面支持国产化软硬件环境，包含国产化服务端、国产化客户端：</w:t>
      </w:r>
    </w:p>
    <w:p w14:paraId="0528EAE0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（1）支持龙芯-Mips.飞腾-Arm.华为鲲鹏-Arm等；</w:t>
      </w:r>
    </w:p>
    <w:p w14:paraId="72C58D26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（2）支持多种操作系统，如支持统信uos V20SP1、麒麟等操作系统；</w:t>
      </w:r>
    </w:p>
    <w:p w14:paraId="474FB1B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（3）支持多类型、版本数据库，支持达梦DM Database Server 64 V8、人大金仓kingbase (Kingbase) V008R003C002B0010</w:t>
      </w:r>
      <w:r>
        <w:rPr>
          <w:rFonts w:hAnsi="Times New Roman" w:eastAsia="仿宋_GB2312"/>
          <w:color w:val="000000"/>
          <w:spacing w:val="13"/>
          <w:sz w:val="32"/>
          <w:shd w:val="clear" w:color="auto" w:fill="FFFFFF"/>
        </w:rPr>
        <w:t xml:space="preserve"> 数据库、神舟通用 7、0、8、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191204-342等</w:t>
      </w:r>
    </w:p>
    <w:p w14:paraId="12692EB8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（4）支持多浏览器，如UOS V5、奇安信、360、海泰方圆等国产化浏览器；</w:t>
      </w:r>
    </w:p>
    <w:p w14:paraId="74E4A50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（5）支持多中间件，如支持东方通TongWeb 6、1、金蝶天燕Apusic Application Server Enterprise Edition 9、0 中间件等。</w:t>
      </w:r>
    </w:p>
    <w:p w14:paraId="4CD839B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int="eastAsia" w:hAnsi="Times New Roman" w:eastAsia="仿宋_GB2312"/>
          <w:color w:val="000000"/>
          <w:sz w:val="32"/>
          <w:shd w:val="clear" w:color="auto" w:fill="FFFFFF"/>
        </w:rPr>
      </w:pPr>
      <w:r>
        <w:rPr>
          <w:kern w:val="2"/>
          <w:sz w:val="32"/>
        </w:rPr>
        <w:t>系统在国产化软硬件环境下，应保持与非国产环境</w:t>
      </w:r>
      <w:r>
        <w:rPr>
          <w:b/>
          <w:bCs/>
          <w:kern w:val="2"/>
          <w:sz w:val="32"/>
        </w:rPr>
        <w:t>一致的功能与性能表现</w:t>
      </w:r>
      <w:r>
        <w:rPr>
          <w:kern w:val="2"/>
          <w:sz w:val="32"/>
        </w:rPr>
        <w:t>，包括文档协作、即时消息、会议能力、流程审批等核心功能，不得因国产化环境而削减功能。</w:t>
      </w:r>
    </w:p>
    <w:p w14:paraId="6265644A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（三）平台兼容性要求</w:t>
      </w:r>
      <w:bookmarkEnd w:id="0"/>
    </w:p>
    <w:p w14:paraId="04325B62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平台须具备高度的兼容性，系统可部署在国产化服务器上，支持主流国产化中间件、数据库、操作系统，客户端需支持Windows操作系统、国产化操作系统和移动端。支持版本升级，能够保证数据平滑升级。</w:t>
      </w:r>
    </w:p>
    <w:p w14:paraId="12C12BCD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int="eastAsia" w:hAnsi="Times New Roman" w:eastAsia="仿宋_GB2312"/>
          <w:color w:val="000000"/>
          <w:sz w:val="32"/>
          <w:shd w:val="clear" w:color="auto" w:fill="FFFFFF"/>
        </w:rPr>
      </w:pPr>
      <w:r>
        <w:rPr>
          <w:kern w:val="2"/>
          <w:sz w:val="32"/>
        </w:rPr>
        <w:t>客户端需支持国产 CPU 与国产操作系统的</w:t>
      </w:r>
      <w:r>
        <w:rPr>
          <w:b/>
          <w:bCs/>
          <w:kern w:val="2"/>
          <w:sz w:val="32"/>
        </w:rPr>
        <w:t>全量功能使用</w:t>
      </w:r>
      <w:r>
        <w:rPr>
          <w:kern w:val="2"/>
          <w:sz w:val="32"/>
        </w:rPr>
        <w:t>，不得存在功能受限或性能明显下降情况。</w:t>
      </w:r>
    </w:p>
    <w:p w14:paraId="6711903B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bookmarkStart w:id="1" w:name="_Toc466837154"/>
      <w:bookmarkStart w:id="2" w:name="_Toc393898322"/>
      <w:bookmarkStart w:id="3" w:name="_Toc454999035"/>
      <w:bookmarkStart w:id="4" w:name="_Toc393896842"/>
      <w:bookmarkStart w:id="5" w:name="_Toc393910310"/>
      <w:bookmarkStart w:id="6" w:name="_Toc393960054"/>
      <w:bookmarkStart w:id="7" w:name="_Toc477686936"/>
      <w:bookmarkStart w:id="8" w:name="_Toc393898827"/>
      <w:bookmarkStart w:id="9" w:name="_Toc167667212"/>
      <w:r>
        <w:rPr>
          <w:rFonts w:hAnsi="Times New Roman" w:eastAsia="黑体"/>
          <w:color w:val="000000"/>
          <w:sz w:val="32"/>
        </w:rPr>
        <w:t>（四）平台安全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Ansi="Times New Roman" w:eastAsia="黑体"/>
          <w:color w:val="000000"/>
          <w:sz w:val="32"/>
        </w:rPr>
        <w:t>性要求</w:t>
      </w:r>
      <w:bookmarkEnd w:id="9"/>
    </w:p>
    <w:p w14:paraId="0CA1A3A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kern w:val="2"/>
          <w:sz w:val="32"/>
        </w:rPr>
      </w:pPr>
      <w:r>
        <w:rPr>
          <w:kern w:val="2"/>
          <w:sz w:val="32"/>
        </w:rPr>
        <w:t xml:space="preserve">平台需通过 </w:t>
      </w:r>
      <w:r>
        <w:rPr>
          <w:b/>
          <w:bCs/>
          <w:kern w:val="2"/>
          <w:sz w:val="32"/>
        </w:rPr>
        <w:t>ISO27001、ISO27701</w:t>
      </w:r>
      <w:r>
        <w:rPr>
          <w:kern w:val="2"/>
          <w:sz w:val="32"/>
        </w:rPr>
        <w:t xml:space="preserve"> 等信息安全与隐私保护管理体系认证。</w:t>
      </w:r>
    </w:p>
    <w:p w14:paraId="1C03C80F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提供完整的安全体系，从底层架构、加密存储、密级标识、三员分离、安全审计、数据传输访问机制等应用使用层面，提供符合国家规范的解决方案，满足国家等保、分保、国密的规定，保障医院的安全运营。</w:t>
      </w:r>
    </w:p>
    <w:p w14:paraId="57D112EF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（1）★要求具有完整的身份认证与授权，对关键用户、领导的身份确认进行数字签名，并支持对敏感数据的加密传输。</w:t>
      </w:r>
    </w:p>
    <w:p w14:paraId="60F76482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★要求确保数据存储的安全性。系统具有安全防护功能，提供数据的防控能力，限制用户访问权限，避免高危操作对数据库造成破坏；对用户访问的时间、地点进行限制。只能通过相关的功能模块对数据进行操作。</w:t>
      </w:r>
    </w:p>
    <w:p w14:paraId="429FDC74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3）★要求平台提供有效的、严格的分级管理模式，把系统管理员和各级单位的应用管理员的权限分开，按照各自的职责范围划定管理权限，除了系统管理员以外，分别设置公文管理员、文档管理员以及其它功能模块的专门管理人员，在保证各施其责的基础上，保证数据的安全性。</w:t>
      </w:r>
    </w:p>
    <w:p w14:paraId="65CFC686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（4）★系统要求具备完善的日志管理功能，能够记录各类系统管理员、使用人员的系统操作记录日志。</w:t>
      </w:r>
    </w:p>
    <w:p w14:paraId="607828F8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（5）★系统要求具备高的数据存储安全设计，文档、附件能在服务器上单独加密存储，能做到对某些存入数据库的数据、服务器的数据自动加密，支持国密。</w:t>
      </w:r>
    </w:p>
    <w:p w14:paraId="505A5D96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（6）★系统要求能提供多种人员账号安全保障措施，比如加密锁登录、CA 认证等；</w:t>
      </w:r>
    </w:p>
    <w:p w14:paraId="7C33BEAB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（7）系统用户账号支持与移动设备、IP 地址进行绑定，非绑定设备或地址无法登陆系统。</w:t>
      </w:r>
    </w:p>
    <w:p w14:paraId="72AA6FAC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（8）系统要求具备密码管理策略设置功能，如密码强度验证，定期修改密码提醒等。</w:t>
      </w:r>
    </w:p>
    <w:p w14:paraId="512EE21F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（9）★系统要求提供一键式安全检测，对系统稳定运行、潜在安全隐患进行自动排查。</w:t>
      </w:r>
    </w:p>
    <w:p w14:paraId="3740D3F6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（10）★支持主动防控，可以主动识别风险，基于业务行为的风险判定模型实现主动防护。</w:t>
      </w:r>
    </w:p>
    <w:p w14:paraId="76B19E9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（11）系统具有单独的安全日志记录异常登录、越权访问、密码猜测、伪装站点访问。</w:t>
      </w:r>
    </w:p>
    <w:p w14:paraId="3F9D933D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（12）系统支持水印安全，如审批单据、通知公告、文档、通讯录等均需要水印记录。</w:t>
      </w:r>
    </w:p>
    <w:p w14:paraId="29BE037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（13）支持离开界面锁屏，一定时间无操作自动锁定屏幕，输入密码方可解锁。</w:t>
      </w:r>
    </w:p>
    <w:p w14:paraId="4500F384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（14）★限制转发：可以允许或禁止转发，也可以设置仅允许在一定范围和层级内转发。</w:t>
      </w:r>
    </w:p>
    <w:p w14:paraId="08715745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（15）★安全水印：可在关键文档的浏览界面生成带有浏览者的账户名和时间戳的水印，防止伪造、泄密，并便于在发生泄密和疑似篡改时追查问题来源。</w:t>
      </w:r>
    </w:p>
    <w:p w14:paraId="6EAA0F7F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（16）阅后撤销：拟稿人发起的公文、流程可以手动撤销，可以设置到期自动撤销。</w:t>
      </w:r>
    </w:p>
    <w:p w14:paraId="3BE1E074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（17）移动端：具备防截屏功能和日志追踪。</w:t>
      </w:r>
    </w:p>
    <w:p w14:paraId="20FD33BC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（18）系统移动端与PC端实现应用隔离，PC端部署在内网，访问通过vpn、sdwan实现。</w:t>
      </w:r>
    </w:p>
    <w:p w14:paraId="17B06FE9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（19）系统平台需通过国家认可的第三方检测机构的测试，通过信息系统安全等级保护备案。</w:t>
      </w:r>
    </w:p>
    <w:p w14:paraId="7C09A530">
      <w:pPr>
        <w:pStyle w:val="2"/>
        <w:widowControl/>
        <w:shd w:val="clear" w:color="auto" w:fill="FFFFFF"/>
        <w:adjustRightInd/>
        <w:spacing w:line="576" w:lineRule="exact"/>
        <w:ind w:firstLine="616" w:firstLineChars="200"/>
        <w:rPr>
          <w:rFonts w:hint="eastAsia"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  <w:lang w:eastAsia="zh-CN"/>
        </w:rPr>
        <w:t>（20）</w:t>
      </w: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 xml:space="preserve"> 文档、流程、消息应支持文档级、数据级权限控制，具备水印、防截屏、日志追踪、操作留痕等安全能力。</w:t>
      </w:r>
    </w:p>
    <w:p w14:paraId="4BF268C7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int="eastAsia" w:hAnsi="Times New Roman" w:eastAsia="仿宋_GB2312"/>
          <w:color w:val="000000"/>
          <w:sz w:val="32"/>
          <w:shd w:val="clear" w:color="auto" w:fill="FFFFFF"/>
        </w:rPr>
      </w:pPr>
      <w:r>
        <w:rPr>
          <w:rFonts w:hint="eastAsia" w:hAnsi="Times New Roman" w:eastAsia="仿宋_GB2312"/>
          <w:color w:val="000000"/>
          <w:sz w:val="32"/>
          <w:shd w:val="clear" w:color="auto" w:fill="FFFFFF"/>
          <w:lang w:eastAsia="zh-CN"/>
        </w:rPr>
        <w:t>（21）</w:t>
      </w:r>
      <w:r>
        <w:rPr>
          <w:rFonts w:hint="eastAsia" w:hAnsi="Times New Roman" w:eastAsia="仿宋_GB2312"/>
          <w:color w:val="000000"/>
          <w:sz w:val="32"/>
          <w:shd w:val="clear" w:color="auto" w:fill="FFFFFF"/>
        </w:rPr>
        <w:t xml:space="preserve"> 数据传输需支持国密算法，文档支持独立加密存储。</w:t>
      </w:r>
    </w:p>
    <w:p w14:paraId="1C978058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bookmarkStart w:id="10" w:name="_Toc477686939"/>
      <w:bookmarkStart w:id="11" w:name="_Toc466837157"/>
      <w:bookmarkStart w:id="12" w:name="_Toc393896845"/>
      <w:bookmarkStart w:id="13" w:name="_Toc393960057"/>
      <w:bookmarkStart w:id="14" w:name="_Toc454999038"/>
      <w:bookmarkStart w:id="15" w:name="_Toc393910313"/>
      <w:bookmarkStart w:id="16" w:name="_Toc393898830"/>
      <w:bookmarkStart w:id="17" w:name="_Toc393898325"/>
      <w:bookmarkStart w:id="18" w:name="_Toc167667213"/>
      <w:r>
        <w:rPr>
          <w:rFonts w:hAnsi="Times New Roman" w:eastAsia="黑体"/>
          <w:color w:val="000000"/>
          <w:sz w:val="32"/>
        </w:rPr>
        <w:t>（五）平台易用性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Ansi="Times New Roman" w:eastAsia="黑体"/>
          <w:color w:val="000000"/>
          <w:sz w:val="32"/>
        </w:rPr>
        <w:t>要求</w:t>
      </w:r>
      <w:bookmarkEnd w:id="18"/>
    </w:p>
    <w:p w14:paraId="7D8DDBA8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平台可操作性强，为用户提供友好的操作界面；支持集群和双机热备等多种部署方式，支持平滑扩容，避免服务中断，具备一系列策略来保证平台的易用和高可用。</w:t>
      </w:r>
    </w:p>
    <w:p w14:paraId="563EA5EA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bookmarkStart w:id="19" w:name="_Toc167667214"/>
      <w:r>
        <w:rPr>
          <w:rFonts w:hAnsi="Times New Roman" w:eastAsia="黑体"/>
          <w:color w:val="000000"/>
          <w:sz w:val="32"/>
        </w:rPr>
        <w:t>（六）平台集成性要求</w:t>
      </w:r>
      <w:bookmarkEnd w:id="19"/>
    </w:p>
    <w:p w14:paraId="3285A28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提供可视化集成平台，提供与多种第三方应用系统的接口和支持二次开发的标准 API 系统接口，支持系统扩展，与第三方异构系统进行数据交互，通过平台标准开放的接口，实现与医院现有业务系统集成融合，未来实现单点登录、组织同步、门户集成、待办集成、消息集成、流程集成、数据集成等应用场景：</w:t>
      </w:r>
    </w:p>
    <w:p w14:paraId="72354B71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（1）应提供开发接口，允许通过这些接口修正数据结构和业务逻辑；</w:t>
      </w:r>
    </w:p>
    <w:p w14:paraId="692CF5B0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（2）应提供 Web Service 接口，允许其他系统调用本系统，也允许本系统调用其他系统。</w:t>
      </w:r>
    </w:p>
    <w:p w14:paraId="31FECA32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hd w:val="clear" w:color="auto" w:fill="FFFFFF"/>
          <w:lang w:eastAsia="zh-CN"/>
        </w:rPr>
        <w:t>（3）</w:t>
      </w:r>
      <w:r>
        <w:rPr>
          <w:rFonts w:hint="default"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平台应提供成熟、标准化的 API 体系，包括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hd w:val="clear" w:color="auto" w:fill="FFFFFF"/>
        </w:rPr>
        <w:t>RESTful API、Webhook 事件回调</w:t>
      </w:r>
      <w:r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  <w:t>，并配套完整的开发文档，便于与 HIS、LIS、EMR 等系统进行深度集成。</w:t>
      </w:r>
    </w:p>
    <w:p w14:paraId="7E361805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hd w:val="clear" w:color="auto" w:fill="FFFFFF"/>
          <w:lang w:eastAsia="zh-CN"/>
        </w:rPr>
        <w:t>（4）</w:t>
      </w:r>
      <w:r>
        <w:rPr>
          <w:rFonts w:hint="default"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支持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hd w:val="clear" w:color="auto" w:fill="FFFFFF"/>
        </w:rPr>
        <w:t>SSO 单点登录</w:t>
      </w:r>
      <w:r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，并兼容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2"/>
          <w:shd w:val="clear" w:color="auto" w:fill="FFFFFF"/>
        </w:rPr>
        <w:t>OAuth2.0、SAML2.0</w:t>
      </w:r>
      <w:r>
        <w:rPr>
          <w:rFonts w:ascii="Times New Roman" w:hAnsi="Times New Roman" w:eastAsia="仿宋_GB2312" w:cs="Times New Roman"/>
          <w:color w:val="000000"/>
          <w:sz w:val="32"/>
          <w:shd w:val="clear" w:color="auto" w:fill="FFFFFF"/>
        </w:rPr>
        <w:t xml:space="preserve"> 等主流认证机制，可与医院现有组织架构系统实现自动同步。</w:t>
      </w:r>
    </w:p>
    <w:p w14:paraId="06CAC1C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int="eastAsia" w:hAnsi="Times New Roman" w:eastAsia="仿宋_GB2312"/>
          <w:color w:val="000000"/>
          <w:sz w:val="32"/>
          <w:shd w:val="clear" w:color="auto" w:fill="FFFFFF"/>
        </w:rPr>
      </w:pPr>
    </w:p>
    <w:p w14:paraId="252CC58F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（七）平台扩展性要求</w:t>
      </w:r>
    </w:p>
    <w:p w14:paraId="21BC76AA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系统支持平台扩展，支持提供高适用、低成本、易调整、见</w:t>
      </w:r>
      <w:r>
        <w:rPr>
          <w:rFonts w:hAnsi="Times New Roman" w:eastAsia="仿宋_GB2312"/>
          <w:color w:val="000000"/>
          <w:spacing w:val="6"/>
          <w:sz w:val="32"/>
          <w:shd w:val="clear" w:color="auto" w:fill="FFFFFF"/>
        </w:rPr>
        <w:t>效快的因业务管理需求而产生的实现快速搭建基本业务</w:t>
      </w:r>
      <w:r>
        <w:rPr>
          <w:rFonts w:hAnsi="Times New Roman" w:eastAsia="仿宋_GB2312"/>
          <w:color w:val="000000"/>
          <w:sz w:val="32"/>
          <w:shd w:val="clear" w:color="auto" w:fill="FFFFFF"/>
        </w:rPr>
        <w:t>的工具。</w:t>
      </w:r>
      <w:r>
        <w:rPr>
          <w:kern w:val="2"/>
          <w:sz w:val="32"/>
        </w:rPr>
        <w:t>平台应提供</w:t>
      </w:r>
      <w:r>
        <w:rPr>
          <w:b/>
          <w:bCs/>
          <w:kern w:val="2"/>
          <w:sz w:val="32"/>
        </w:rPr>
        <w:t>完备的低代码能力</w:t>
      </w:r>
      <w:r>
        <w:rPr>
          <w:kern w:val="2"/>
          <w:sz w:val="32"/>
        </w:rPr>
        <w:t>，支持表单配置、流程编排、子流程复用、条件路由、业务规则配置，并支持调用外部系统数据接口，确保医院内部各类业务场景可快速上线和迭代。</w:t>
      </w:r>
    </w:p>
    <w:p w14:paraId="51C6A2EF">
      <w:pPr>
        <w:pStyle w:val="2"/>
        <w:widowControl/>
        <w:shd w:val="clear" w:color="auto" w:fill="FFFFFF"/>
        <w:wordWrap w:val="0"/>
        <w:adjustRightInd/>
        <w:spacing w:before="0" w:beforeAutospacing="0" w:after="0" w:afterAutospacing="0" w:line="576" w:lineRule="exact"/>
        <w:ind w:firstLine="616" w:firstLineChars="200"/>
        <w:rPr>
          <w:rFonts w:hAnsi="Times New Roman" w:eastAsia="黑体"/>
          <w:color w:val="000000"/>
          <w:sz w:val="32"/>
        </w:rPr>
      </w:pPr>
      <w:r>
        <w:rPr>
          <w:rFonts w:hAnsi="Times New Roman" w:eastAsia="黑体"/>
          <w:color w:val="000000"/>
          <w:sz w:val="32"/>
        </w:rPr>
        <w:t>（八）平台智能化要求</w:t>
      </w:r>
    </w:p>
    <w:p w14:paraId="0DEBA983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1）★平台具备AI智能体底座能力，内置向重库管理、模型管理、提示词管理、智能体管理、智能体应用管理、安全管理等为医院提供统一的Agent入口，提供独立的AI工作台和业务辅助的智能助手两种产品形态，打造人智协同办公新范式。</w:t>
      </w:r>
    </w:p>
    <w:p w14:paraId="3D488C0D">
      <w:pPr>
        <w:pStyle w:val="2"/>
        <w:widowControl/>
        <w:shd w:val="clear" w:color="auto" w:fill="FFFFFF"/>
        <w:adjustRightInd/>
        <w:spacing w:before="0" w:beforeAutospacing="0" w:after="0" w:afterAutospacing="0" w:line="576" w:lineRule="exact"/>
        <w:ind w:firstLine="616" w:firstLineChars="200"/>
        <w:jc w:val="both"/>
        <w:rPr>
          <w:rFonts w:hAnsi="Times New Roman" w:eastAsia="仿宋_GB2312"/>
          <w:color w:val="000000"/>
          <w:sz w:val="32"/>
          <w:shd w:val="clear" w:color="auto" w:fill="FFFFFF"/>
        </w:rPr>
      </w:pPr>
      <w:r>
        <w:rPr>
          <w:rFonts w:hAnsi="Times New Roman" w:eastAsia="仿宋_GB2312"/>
          <w:color w:val="000000"/>
          <w:sz w:val="32"/>
          <w:shd w:val="clear" w:color="auto" w:fill="FFFFFF"/>
        </w:rPr>
        <w:t>（2）★基于内部知识、协同文档、协同权限提供AI服务的场景，以及公文、合同等特定的业务场景，支持通过自然语言进行办公、数据分析、内容创作、辅助审批、信息整理等工作，大幅释动人力，提高业务处理效率。</w:t>
      </w:r>
      <w:bookmarkStart w:id="20" w:name="_Toc449686119"/>
      <w:bookmarkStart w:id="21" w:name="_Toc466837170"/>
      <w:bookmarkStart w:id="22" w:name="_Toc477686940"/>
      <w:bookmarkStart w:id="23" w:name="_Toc167667215"/>
    </w:p>
    <w:p w14:paraId="59341C8C">
      <w:pPr>
        <w:adjustRightInd/>
        <w:spacing w:line="576" w:lineRule="exact"/>
        <w:ind w:firstLine="420"/>
        <w:rPr>
          <w:rFonts w:hAnsi="Times New Roman"/>
          <w:sz w:val="24"/>
          <w:szCs w:val="24"/>
        </w:rPr>
      </w:pPr>
      <w:r>
        <w:t>平台应提供</w:t>
      </w:r>
      <w:r>
        <w:rPr>
          <w:b/>
          <w:bCs/>
        </w:rPr>
        <w:t>智能体能力中心</w:t>
      </w:r>
      <w:r>
        <w:t>，具备模型管理、知识库管理、提示词管理能力，支持基于自然语言进行流程构建、审批辅助、内容生成、数据分析等。</w:t>
      </w:r>
      <w:r>
        <w:rPr>
          <w:rFonts w:hAnsi="Times New Roman" w:eastAsia="仿宋_GB2312"/>
          <w:color w:val="000000"/>
          <w:shd w:val="clear" w:color="auto" w:fill="FFFFFF"/>
        </w:rPr>
        <w:t>支持预置20个智能体以上的应用</w:t>
      </w:r>
      <w:r>
        <w:rPr>
          <w:rFonts w:hint="eastAsia" w:hAnsi="Times New Roman" w:eastAsia="仿宋_GB2312"/>
          <w:color w:val="000000"/>
          <w:shd w:val="clear" w:color="auto" w:fill="FFFFFF"/>
        </w:rPr>
        <w:t>。</w:t>
      </w:r>
      <w:r>
        <w:rPr>
          <w:rFonts w:hAnsi="Times New Roman" w:eastAsia="仿宋_GB2312"/>
          <w:color w:val="000000"/>
          <w:shd w:val="clear" w:color="auto" w:fill="FFFFFF"/>
        </w:rPr>
        <w:t>覆盖公文、合同、人事、行政、资产等典型医院管理场景。</w:t>
      </w:r>
    </w:p>
    <w:bookmarkEnd w:id="20"/>
    <w:bookmarkEnd w:id="21"/>
    <w:bookmarkEnd w:id="22"/>
    <w:bookmarkEnd w:id="23"/>
    <w:p w14:paraId="5D235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81B5A"/>
    <w:rsid w:val="517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Calibri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2026-01-16T09:12:00Z</dcterms:created>
  <dc:creator>卑微小虎崽</dc:creator>
  <cp:lastModifiedBy>卑微小虎崽</cp:lastModifiedBy>
  <dcterms:modified xsi:type="dcterms:W3CDTF">2026-01-16T09:12:59Z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8EE10FE5E27B4CC48B376803F43857D2_11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