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7" w:name="_GoBack"/>
      <w:bookmarkEnd w:id="7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中医专业技术人才晋升高级职称工作量要求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杨玮  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老年康复科</w:t>
      </w:r>
      <w:bookmarkEnd w:id="2"/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中西医结合医学</w:t>
      </w:r>
      <w:bookmarkEnd w:id="4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id="5" w:name="PreventionAndControlOfHospitalInfection"/>
      <w:r>
        <w:rPr>
          <w:rFonts w:hint="eastAsia" w:eastAsia="仿宋_GB2312"/>
          <w:bCs/>
          <w:sz w:val="30"/>
          <w:szCs w:val="30"/>
        </w:rPr>
        <w:t>否</w:t>
      </w:r>
      <w:bookmarkEnd w:id="5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6" w:name="PersonProperties"/>
      <w:r>
        <w:rPr>
          <w:rFonts w:hint="eastAsia" w:ascii="宋体" w:hAnsi="宋体"/>
          <w:bCs/>
          <w:sz w:val="24"/>
        </w:rPr>
        <w:t>非手术为主科室的病房医师</w:t>
      </w:r>
      <w:bookmarkEnd w:id="6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8"/>
        <w:gridCol w:w="1237"/>
        <w:gridCol w:w="630"/>
        <w:gridCol w:w="435"/>
        <w:gridCol w:w="750"/>
        <w:gridCol w:w="706"/>
        <w:gridCol w:w="4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专职门诊医师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中医内科、中医外科、中医妇科、中医儿科、中医骨伤科、中医皮肤科、中医肛肠科、中医五官科、针灸、按摩推拿、中医康复、中医治未病、全科医学（中医类别）、中西医结合医学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非手术为主科室的病房医师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1188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手术为主科室的病房医师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中医内科、中医外科、中医妇科、中医骨伤科、中医皮肤科、中医肛肠科、中医五官科、中西医结合医学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出院患者手术/操作人次数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105" w:afterAutospacing="0" w:line="315" w:lineRule="atLeast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备注：《工作量表》须与《工作量实绩表》的相关数据保持一致。 </w:t>
      </w:r>
    </w:p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39FA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</Words>
  <Characters>94</Characters>
  <Lines>1</Lines>
  <Paragraphs>1</Paragraphs>
  <TotalTime>107</TotalTime>
  <ScaleCrop>false</ScaleCrop>
  <LinksUpToDate>false</LinksUpToDate>
  <CharactersWithSpaces>109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2026-03-18T00:33:39Z</dcterms:modified>
  <dc:title>专业技术工作实例表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B90B537097874B2292E7C944D486F20B</vt:lpwstr>
  </property>
</Properties>
</file>