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</w:pPr>
      <w:bookmarkStart w:id="5" w:name="_GoBack"/>
      <w:bookmarkStart w:id="0" w:name="OLE_LINK1"/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附件3：</w:t>
      </w:r>
      <w:bookmarkEnd w:id="5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76" w:lineRule="exact"/>
        <w:jc w:val="center"/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  <w:lang w:val="en-US" w:eastAsia="zh-CN" w:bidi="ar"/>
        </w:rPr>
        <w:t>网络安全服务满意度调查表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调查周期：第__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阶段</w:t>
      </w:r>
      <w:r>
        <w:rPr>
          <w:rFonts w:hint="default" w:ascii="Times New Roman" w:hAnsi="Times New Roman" w:eastAsia="宋体" w:cs="Times New Roman"/>
          <w:sz w:val="22"/>
          <w:szCs w:val="22"/>
        </w:rPr>
        <w:t>（__年_月_日 - __年_月_日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3个月为一个阶段</w:t>
      </w:r>
      <w:r>
        <w:rPr>
          <w:rFonts w:hint="default" w:ascii="Times New Roman" w:hAnsi="Times New Roman" w:eastAsia="宋体" w:cs="Times New Roman"/>
          <w:sz w:val="22"/>
          <w:szCs w:val="2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评估部门：信息科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被评估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公司</w:t>
      </w:r>
      <w:r>
        <w:rPr>
          <w:rFonts w:hint="default" w:ascii="Times New Roman" w:hAnsi="Times New Roman" w:eastAsia="宋体" w:cs="Times New Roman"/>
          <w:sz w:val="22"/>
          <w:szCs w:val="2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评估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z w:val="22"/>
          <w:szCs w:val="22"/>
        </w:rPr>
        <w:t>期：__年_月_日</w:t>
      </w:r>
    </w:p>
    <w:tbl>
      <w:tblPr>
        <w:tblStyle w:val="3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3887"/>
        <w:gridCol w:w="1632"/>
        <w:gridCol w:w="1542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评估项目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评分（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-5分）</w:t>
            </w: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问题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改进建议</w:t>
            </w: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安全服务驻点服务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网络安全检测和风险评估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安全设备巡检服务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安全合规建设服务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渗透测试服务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漏洞扫描服务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加固服务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8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应急响应服务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应急演练服务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安全常规培训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11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安全咨询服务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12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安全通告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重保服务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14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MSS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服务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15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服务人员整体专业能力、沟通配合度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交付成果（各类报告、资料）的完整性、规范性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17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服务过程中问题整改的及时性、有效性</w:t>
            </w:r>
          </w:p>
        </w:tc>
        <w:tc>
          <w:tcPr>
            <w:tcW w:w="1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4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bookmarkStart w:id="1" w:name="heading_0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说明：本调查表用于对网络安全服务供应商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阶段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服务质量、响应效率、交付成果等进行全面评估，所有评分均为客观真实反馈，作为供应商服务考核依据。</w:t>
            </w:r>
          </w:p>
          <w:p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评分标准：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≤分数≤5.0：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满意；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 w:line="576" w:lineRule="exact"/>
              <w:ind w:lef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0≤分数&lt;4.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不满意。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2"/>
          <w:szCs w:val="22"/>
        </w:rPr>
        <w:t>服务综合评分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综合得分（所有项目平均分）：__分  综合评级：□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满意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□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不满意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宋体" w:cs="Times New Roman"/>
          <w:sz w:val="22"/>
          <w:szCs w:val="22"/>
        </w:rPr>
      </w:pPr>
      <w:bookmarkStart w:id="2" w:name="heading_1"/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2"/>
          <w:szCs w:val="22"/>
        </w:rPr>
        <w:t>季度服务总体评价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________________________________________________________________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________________________________________________________________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宋体" w:cs="Times New Roman"/>
          <w:sz w:val="22"/>
          <w:szCs w:val="22"/>
        </w:rPr>
      </w:pPr>
      <w:bookmarkStart w:id="3" w:name="heading_2"/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2"/>
          <w:szCs w:val="22"/>
        </w:rPr>
        <w:t>重点改进要求（针对评分较低项目或突出问题）</w:t>
      </w:r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________________________________________________________________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________________________________________________________________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宋体" w:cs="Times New Roman"/>
          <w:sz w:val="22"/>
          <w:szCs w:val="22"/>
        </w:rPr>
      </w:pPr>
      <w:bookmarkStart w:id="4" w:name="heading_3"/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2"/>
          <w:szCs w:val="22"/>
        </w:rPr>
        <w:t>评估人信息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评估人签字：__________  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日期：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__________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 w:line="576" w:lineRule="exact"/>
        <w:ind w:left="0"/>
        <w:jc w:val="lef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信息科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负责人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签字：__________ 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日期：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__________ </w:t>
      </w: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宋体" w:cs="Times New Roman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1B9B"/>
    <w:rsid w:val="7B6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2026-03-26T09:14:00Z</dcterms:created>
  <dc:creator>姜南</dc:creator>
  <cp:lastModifiedBy>姜南</cp:lastModifiedBy>
  <dcterms:modified xsi:type="dcterms:W3CDTF">2026-03-26T09:20:17Z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