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outlineLvl w:val="0"/>
        <w:rPr>
          <w:b/>
          <w:bCs/>
          <w:sz w:val="28"/>
          <w:szCs w:val="28"/>
        </w:rPr>
      </w:pPr>
    </w:p>
    <w:p>
      <w:pPr>
        <w:pStyle w:val="2"/>
        <w:rPr>
          <w:rFonts w:hint="eastAsia" w:eastAsia="等线"/>
          <w:lang w:val="en-US" w:eastAsia="zh-CN"/>
        </w:rPr>
      </w:pPr>
      <w:r>
        <w:rPr>
          <w:rFonts w:hint="default" w:ascii="Times New Roman" w:hAnsi="Times New Roman" w:eastAsia="仿宋_GB2312" w:cs="Times New Roman"/>
          <w:bCs/>
          <w:sz w:val="32"/>
          <w:szCs w:val="32"/>
          <w:shd w:val="clear" w:color="auto" w:fill="auto"/>
          <w:lang w:val="en-US" w:eastAsia="zh-CN"/>
        </w:rPr>
        <w:t>附件</w:t>
      </w:r>
      <w:r>
        <w:rPr>
          <w:rFonts w:hint="eastAsia" w:ascii="Times New Roman" w:hAnsi="Times New Roman" w:eastAsia="仿宋_GB2312" w:cs="Times New Roman"/>
          <w:bCs/>
          <w:sz w:val="32"/>
          <w:szCs w:val="32"/>
          <w:shd w:val="clear" w:color="auto" w:fill="auto"/>
          <w:lang w:val="en-US" w:eastAsia="zh-CN"/>
        </w:rPr>
        <w:t>4</w:t>
      </w:r>
      <w:bookmarkStart w:id="1" w:name="_GoBack"/>
      <w:bookmarkEnd w:id="1"/>
      <w:r>
        <w:rPr>
          <w:rFonts w:hint="default" w:ascii="Times New Roman" w:hAnsi="Times New Roman" w:eastAsia="仿宋_GB2312" w:cs="Times New Roman"/>
          <w:bCs/>
          <w:sz w:val="32"/>
          <w:szCs w:val="32"/>
          <w:shd w:val="clear" w:color="auto" w:fill="auto"/>
          <w:lang w:val="en-US" w:eastAsia="zh-CN"/>
        </w:rPr>
        <w:t>：</w:t>
      </w:r>
    </w:p>
    <w:p>
      <w:pPr>
        <w:snapToGrid w:val="0"/>
        <w:spacing w:line="360" w:lineRule="auto"/>
        <w:jc w:val="center"/>
        <w:outlineLvl w:val="0"/>
        <w:rPr>
          <w:b/>
          <w:bCs/>
          <w:sz w:val="28"/>
          <w:szCs w:val="28"/>
        </w:rPr>
      </w:pPr>
    </w:p>
    <w:p>
      <w:pPr>
        <w:snapToGrid w:val="0"/>
        <w:spacing w:line="360" w:lineRule="auto"/>
        <w:jc w:val="center"/>
        <w:outlineLvl w:val="0"/>
        <w:rPr>
          <w:b/>
          <w:bCs/>
          <w:sz w:val="72"/>
          <w:szCs w:val="72"/>
        </w:rPr>
      </w:pPr>
      <w:r>
        <w:rPr>
          <w:rFonts w:hint="eastAsia"/>
          <w:b/>
          <w:bCs/>
          <w:sz w:val="72"/>
          <w:szCs w:val="72"/>
        </w:rPr>
        <w:t>合同书</w:t>
      </w:r>
    </w:p>
    <w:p>
      <w:pPr>
        <w:tabs>
          <w:tab w:val="left" w:pos="720"/>
        </w:tabs>
        <w:spacing w:line="360" w:lineRule="auto"/>
        <w:jc w:val="center"/>
        <w:rPr>
          <w:rFonts w:hint="eastAsia" w:ascii="宋体" w:hAnsi="宋体" w:cs="Arial"/>
          <w:b/>
          <w:sz w:val="72"/>
          <w:szCs w:val="72"/>
        </w:rPr>
      </w:pPr>
      <w:r>
        <w:rPr>
          <w:rFonts w:hint="eastAsia" w:ascii="宋体" w:hAnsi="宋体" w:cs="Arial"/>
          <w:b/>
          <w:sz w:val="72"/>
          <w:szCs w:val="72"/>
        </w:rPr>
        <w:t xml:space="preserve"> </w:t>
      </w:r>
    </w:p>
    <w:p>
      <w:pPr>
        <w:tabs>
          <w:tab w:val="left" w:pos="720"/>
        </w:tabs>
        <w:spacing w:line="360" w:lineRule="auto"/>
        <w:jc w:val="center"/>
        <w:rPr>
          <w:rFonts w:hint="eastAsia" w:ascii="宋体" w:hAnsi="宋体"/>
          <w:b/>
          <w:sz w:val="44"/>
          <w:szCs w:val="44"/>
        </w:rPr>
      </w:pPr>
      <w:r>
        <w:rPr>
          <w:rFonts w:hint="eastAsia" w:ascii="宋体" w:hAnsi="宋体"/>
          <w:b/>
          <w:sz w:val="44"/>
          <w:szCs w:val="44"/>
        </w:rPr>
        <w:t>（服务类）</w:t>
      </w:r>
    </w:p>
    <w:p>
      <w:pPr>
        <w:tabs>
          <w:tab w:val="left" w:pos="720"/>
        </w:tabs>
        <w:spacing w:line="360" w:lineRule="auto"/>
        <w:rPr>
          <w:rFonts w:hint="eastAsia" w:ascii="宋体" w:hAnsi="宋体" w:cs="Arial"/>
          <w:b/>
          <w:sz w:val="48"/>
          <w:szCs w:val="48"/>
        </w:rPr>
      </w:pPr>
    </w:p>
    <w:tbl>
      <w:tblPr>
        <w:tblStyle w:val="7"/>
        <w:tblW w:w="7762" w:type="dxa"/>
        <w:jc w:val="center"/>
        <w:tblLayout w:type="fixed"/>
        <w:tblCellMar>
          <w:top w:w="0" w:type="dxa"/>
          <w:left w:w="108" w:type="dxa"/>
          <w:bottom w:w="0" w:type="dxa"/>
          <w:right w:w="108" w:type="dxa"/>
        </w:tblCellMar>
      </w:tblPr>
      <w:tblGrid>
        <w:gridCol w:w="7762"/>
      </w:tblGrid>
      <w:tr>
        <w:tblPrEx>
          <w:tblCellMar>
            <w:top w:w="0" w:type="dxa"/>
            <w:left w:w="108" w:type="dxa"/>
            <w:bottom w:w="0" w:type="dxa"/>
            <w:right w:w="108" w:type="dxa"/>
          </w:tblCellMar>
        </w:tblPrEx>
        <w:trPr>
          <w:trHeight w:val="512" w:hRule="atLeast"/>
          <w:jc w:val="center"/>
        </w:trPr>
        <w:tc>
          <w:tcPr>
            <w:tcW w:w="7762" w:type="dxa"/>
            <w:noWrap w:val="0"/>
            <w:vAlign w:val="top"/>
          </w:tcPr>
          <w:p>
            <w:pPr>
              <w:tabs>
                <w:tab w:val="left" w:pos="720"/>
              </w:tabs>
              <w:spacing w:line="360" w:lineRule="auto"/>
              <w:rPr>
                <w:rFonts w:hint="eastAsia" w:ascii="宋体" w:hAnsi="宋体" w:cs="Arial"/>
                <w:b/>
                <w:sz w:val="28"/>
                <w:szCs w:val="28"/>
              </w:rPr>
            </w:pPr>
          </w:p>
          <w:p>
            <w:pPr>
              <w:tabs>
                <w:tab w:val="left" w:pos="720"/>
              </w:tabs>
              <w:spacing w:line="360" w:lineRule="auto"/>
              <w:rPr>
                <w:rFonts w:hint="eastAsia" w:ascii="宋体" w:hAnsi="宋体" w:cs="Arial"/>
                <w:b/>
                <w:sz w:val="28"/>
                <w:szCs w:val="28"/>
              </w:rPr>
            </w:pPr>
          </w:p>
          <w:p>
            <w:pPr>
              <w:tabs>
                <w:tab w:val="left" w:pos="720"/>
              </w:tabs>
              <w:spacing w:line="360" w:lineRule="auto"/>
              <w:ind w:firstLine="280" w:firstLineChars="100"/>
              <w:rPr>
                <w:rFonts w:hint="eastAsia" w:ascii="宋体" w:hAnsi="宋体" w:cs="Arial"/>
                <w:b/>
                <w:sz w:val="28"/>
                <w:szCs w:val="28"/>
                <w:u w:val="single"/>
              </w:rPr>
            </w:pPr>
            <w:r>
              <w:rPr>
                <w:rFonts w:hint="eastAsia" w:ascii="宋体" w:hAnsi="宋体" w:cs="Arial"/>
                <w:b/>
                <w:sz w:val="28"/>
                <w:szCs w:val="28"/>
              </w:rPr>
              <w:t>合同</w:t>
            </w:r>
            <w:r>
              <w:rPr>
                <w:rFonts w:ascii="宋体" w:hAnsi="宋体" w:cs="Arial"/>
                <w:b/>
                <w:sz w:val="28"/>
                <w:szCs w:val="28"/>
              </w:rPr>
              <w:t>编号</w:t>
            </w:r>
            <w:r>
              <w:rPr>
                <w:rFonts w:hint="eastAsia" w:ascii="宋体" w:hAnsi="宋体" w:cs="Arial"/>
                <w:b/>
                <w:sz w:val="28"/>
                <w:szCs w:val="28"/>
              </w:rPr>
              <w:t>：</w:t>
            </w:r>
            <w:r>
              <w:rPr>
                <w:rFonts w:hint="eastAsia" w:ascii="宋体" w:hAnsi="宋体" w:cs="Arial"/>
                <w:b/>
                <w:sz w:val="28"/>
                <w:szCs w:val="28"/>
                <w:u w:val="single"/>
              </w:rPr>
              <w:t xml:space="preserve">                     </w:t>
            </w:r>
          </w:p>
        </w:tc>
      </w:tr>
      <w:tr>
        <w:tblPrEx>
          <w:tblCellMar>
            <w:top w:w="0" w:type="dxa"/>
            <w:left w:w="108" w:type="dxa"/>
            <w:bottom w:w="0" w:type="dxa"/>
            <w:right w:w="108" w:type="dxa"/>
          </w:tblCellMar>
        </w:tblPrEx>
        <w:trPr>
          <w:trHeight w:val="512" w:hRule="atLeast"/>
          <w:jc w:val="center"/>
        </w:trPr>
        <w:tc>
          <w:tcPr>
            <w:tcW w:w="7762" w:type="dxa"/>
            <w:noWrap w:val="0"/>
            <w:vAlign w:val="top"/>
          </w:tcPr>
          <w:p>
            <w:pPr>
              <w:tabs>
                <w:tab w:val="left" w:pos="720"/>
              </w:tabs>
              <w:spacing w:line="360" w:lineRule="auto"/>
              <w:rPr>
                <w:rFonts w:hint="eastAsia" w:ascii="宋体" w:hAnsi="宋体" w:cs="Arial"/>
                <w:b/>
                <w:sz w:val="28"/>
                <w:szCs w:val="28"/>
                <w:u w:val="single"/>
              </w:rPr>
            </w:pPr>
          </w:p>
        </w:tc>
      </w:tr>
      <w:tr>
        <w:tblPrEx>
          <w:tblCellMar>
            <w:top w:w="0" w:type="dxa"/>
            <w:left w:w="108" w:type="dxa"/>
            <w:bottom w:w="0" w:type="dxa"/>
            <w:right w:w="108" w:type="dxa"/>
          </w:tblCellMar>
        </w:tblPrEx>
        <w:trPr>
          <w:trHeight w:val="512" w:hRule="atLeast"/>
          <w:jc w:val="center"/>
        </w:trPr>
        <w:tc>
          <w:tcPr>
            <w:tcW w:w="7762" w:type="dxa"/>
            <w:noWrap w:val="0"/>
            <w:vAlign w:val="top"/>
          </w:tcPr>
          <w:p>
            <w:pPr>
              <w:tabs>
                <w:tab w:val="left" w:pos="720"/>
              </w:tabs>
              <w:spacing w:line="360" w:lineRule="auto"/>
              <w:ind w:left="1891" w:leftChars="100" w:hanging="1681" w:hangingChars="600"/>
              <w:rPr>
                <w:rFonts w:hint="eastAsia" w:ascii="宋体" w:hAnsi="宋体" w:cs="Arial"/>
                <w:b/>
                <w:sz w:val="28"/>
                <w:szCs w:val="28"/>
              </w:rPr>
            </w:pPr>
            <w:r>
              <w:rPr>
                <w:rFonts w:ascii="宋体" w:hAnsi="宋体" w:cs="Arial"/>
                <w:b/>
                <w:sz w:val="28"/>
                <w:szCs w:val="28"/>
              </w:rPr>
              <w:t>项目名称：</w:t>
            </w:r>
            <w:r>
              <w:rPr>
                <w:rFonts w:hint="eastAsia" w:ascii="宋体" w:hAnsi="宋体" w:eastAsia="宋体"/>
                <w:sz w:val="28"/>
                <w:szCs w:val="28"/>
                <w:u w:val="single"/>
              </w:rPr>
              <w:t>广东省第一荣军优抚医院</w:t>
            </w:r>
            <w:r>
              <w:rPr>
                <w:rFonts w:hint="eastAsia" w:ascii="宋体" w:hAnsi="宋体"/>
                <w:sz w:val="28"/>
                <w:szCs w:val="28"/>
                <w:u w:val="single"/>
                <w:lang w:eastAsia="zh-CN"/>
              </w:rPr>
              <w:t>网络安全</w:t>
            </w:r>
            <w:r>
              <w:rPr>
                <w:rFonts w:hint="eastAsia" w:ascii="宋体" w:hAnsi="宋体" w:eastAsia="宋体"/>
                <w:sz w:val="28"/>
                <w:szCs w:val="28"/>
                <w:u w:val="single"/>
              </w:rPr>
              <w:t>服务项目</w:t>
            </w:r>
          </w:p>
        </w:tc>
      </w:tr>
    </w:tbl>
    <w:p>
      <w:pPr>
        <w:tabs>
          <w:tab w:val="left" w:pos="720"/>
        </w:tabs>
        <w:spacing w:line="360" w:lineRule="auto"/>
        <w:jc w:val="center"/>
        <w:rPr>
          <w:b/>
          <w:sz w:val="28"/>
          <w:szCs w:val="28"/>
        </w:rPr>
      </w:pPr>
    </w:p>
    <w:p>
      <w:pPr>
        <w:ind w:firstLine="1961" w:firstLineChars="700"/>
        <w:rPr>
          <w:b/>
          <w:sz w:val="28"/>
          <w:szCs w:val="28"/>
        </w:rPr>
      </w:pPr>
    </w:p>
    <w:p>
      <w:pPr>
        <w:ind w:firstLine="1961" w:firstLineChars="700"/>
        <w:rPr>
          <w:b/>
          <w:sz w:val="28"/>
          <w:szCs w:val="28"/>
        </w:rPr>
      </w:pPr>
    </w:p>
    <w:p>
      <w:pPr>
        <w:ind w:firstLine="1961" w:firstLineChars="700"/>
        <w:rPr>
          <w:b/>
          <w:sz w:val="28"/>
          <w:szCs w:val="28"/>
        </w:rPr>
      </w:pPr>
    </w:p>
    <w:p>
      <w:pPr>
        <w:ind w:firstLine="1961" w:firstLineChars="700"/>
        <w:rPr>
          <w:b/>
          <w:sz w:val="28"/>
          <w:szCs w:val="28"/>
        </w:rPr>
      </w:pPr>
    </w:p>
    <w:p>
      <w:pPr>
        <w:ind w:firstLine="1961" w:firstLineChars="700"/>
        <w:rPr>
          <w:b/>
          <w:sz w:val="28"/>
          <w:szCs w:val="28"/>
        </w:rPr>
      </w:pPr>
    </w:p>
    <w:p>
      <w:pPr>
        <w:tabs>
          <w:tab w:val="left" w:pos="737"/>
        </w:tabs>
        <w:ind w:firstLine="3698" w:firstLineChars="840"/>
        <w:outlineLvl w:val="0"/>
        <w:rPr>
          <w:rFonts w:hint="eastAsia" w:ascii="宋体" w:hAnsi="宋体"/>
          <w:b/>
          <w:sz w:val="44"/>
          <w:szCs w:val="44"/>
        </w:rPr>
      </w:pPr>
      <w:r>
        <w:rPr>
          <w:rFonts w:hint="eastAsia" w:ascii="宋体" w:hAnsi="宋体"/>
          <w:b/>
          <w:sz w:val="44"/>
          <w:szCs w:val="44"/>
        </w:rPr>
        <w:t>采购合同</w:t>
      </w:r>
    </w:p>
    <w:p>
      <w:pPr>
        <w:tabs>
          <w:tab w:val="left" w:pos="737"/>
        </w:tabs>
        <w:jc w:val="center"/>
        <w:outlineLvl w:val="0"/>
        <w:rPr>
          <w:rFonts w:hint="eastAsia" w:ascii="宋体" w:hAnsi="宋体"/>
          <w:b/>
          <w:sz w:val="44"/>
          <w:szCs w:val="44"/>
        </w:rPr>
      </w:pPr>
    </w:p>
    <w:p>
      <w:pPr>
        <w:tabs>
          <w:tab w:val="left" w:pos="720"/>
        </w:tabs>
        <w:snapToGrid w:val="0"/>
        <w:spacing w:line="360" w:lineRule="auto"/>
        <w:rPr>
          <w:rFonts w:hint="eastAsia" w:ascii="宋体" w:hAnsi="宋体" w:eastAsia="宋体"/>
          <w:b/>
          <w:sz w:val="28"/>
          <w:szCs w:val="28"/>
        </w:rPr>
      </w:pPr>
      <w:r>
        <w:rPr>
          <w:rFonts w:hint="eastAsia" w:ascii="宋体" w:hAnsi="宋体" w:eastAsia="宋体"/>
          <w:b/>
          <w:sz w:val="28"/>
          <w:szCs w:val="28"/>
        </w:rPr>
        <w:t>甲    方</w:t>
      </w:r>
      <w:r>
        <w:rPr>
          <w:rFonts w:hint="eastAsia" w:ascii="宋体" w:hAnsi="宋体" w:eastAsia="宋体" w:cs="宋体"/>
          <w:sz w:val="28"/>
          <w:szCs w:val="28"/>
        </w:rPr>
        <w:t>（采购方）</w:t>
      </w:r>
      <w:r>
        <w:rPr>
          <w:rFonts w:hint="eastAsia" w:ascii="宋体" w:hAnsi="宋体" w:eastAsia="宋体"/>
          <w:b/>
          <w:sz w:val="28"/>
          <w:szCs w:val="28"/>
        </w:rPr>
        <w:t>：</w:t>
      </w:r>
      <w:r>
        <w:rPr>
          <w:rFonts w:hint="eastAsia" w:ascii="宋体" w:hAnsi="宋体" w:eastAsia="宋体" w:cs="宋体"/>
          <w:b/>
          <w:bCs/>
          <w:sz w:val="28"/>
          <w:szCs w:val="28"/>
        </w:rPr>
        <w:t>广东省第一荣军优抚医院</w:t>
      </w:r>
    </w:p>
    <w:p>
      <w:pPr>
        <w:spacing w:line="60" w:lineRule="auto"/>
        <w:rPr>
          <w:rFonts w:ascii="Cambria" w:hAnsi="Cambria"/>
          <w:b/>
          <w:sz w:val="28"/>
          <w:szCs w:val="28"/>
          <w:u w:val="single"/>
        </w:rPr>
      </w:pPr>
      <w:r>
        <w:rPr>
          <w:rFonts w:hint="eastAsia" w:ascii="宋体" w:hAnsi="宋体" w:eastAsia="宋体"/>
          <w:b/>
          <w:sz w:val="28"/>
          <w:szCs w:val="28"/>
        </w:rPr>
        <w:t>乙    方</w:t>
      </w:r>
      <w:r>
        <w:rPr>
          <w:rFonts w:hint="eastAsia" w:ascii="宋体" w:hAnsi="宋体" w:eastAsia="宋体" w:cs="宋体"/>
          <w:sz w:val="28"/>
          <w:szCs w:val="28"/>
        </w:rPr>
        <w:t>（供应方）</w:t>
      </w:r>
      <w:r>
        <w:rPr>
          <w:rFonts w:hint="eastAsia" w:ascii="宋体" w:hAnsi="宋体" w:eastAsia="宋体"/>
          <w:b/>
          <w:sz w:val="28"/>
          <w:szCs w:val="28"/>
        </w:rPr>
        <w:t>：</w:t>
      </w:r>
      <w:r>
        <w:rPr>
          <w:rFonts w:hint="eastAsia" w:ascii="宋体" w:hAnsi="宋体"/>
          <w:b/>
          <w:sz w:val="28"/>
          <w:szCs w:val="28"/>
          <w:lang w:val="en-US" w:eastAsia="zh-CN"/>
        </w:rPr>
        <w:t>XX</w:t>
      </w:r>
      <w:r>
        <w:rPr>
          <w:rFonts w:hint="eastAsia" w:ascii="宋体" w:hAnsi="宋体"/>
          <w:b/>
          <w:bCs/>
          <w:sz w:val="30"/>
          <w:szCs w:val="30"/>
        </w:rPr>
        <w:t>公司</w:t>
      </w:r>
    </w:p>
    <w:p>
      <w:pPr>
        <w:snapToGrid w:val="0"/>
        <w:spacing w:line="360" w:lineRule="auto"/>
        <w:rPr>
          <w:rFonts w:hint="eastAsia" w:ascii="宋体" w:hAnsi="宋体" w:eastAsia="宋体"/>
          <w:sz w:val="28"/>
          <w:szCs w:val="28"/>
        </w:rPr>
      </w:pPr>
      <w:r>
        <w:rPr>
          <w:rFonts w:hint="eastAsia" w:ascii="宋体" w:hAnsi="宋体" w:eastAsia="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sz w:val="28"/>
          <w:szCs w:val="28"/>
        </w:rPr>
      </w:pPr>
      <w:r>
        <w:rPr>
          <w:rFonts w:hint="eastAsia" w:ascii="宋体" w:hAnsi="宋体" w:eastAsia="宋体" w:cs="Tahoma"/>
          <w:sz w:val="28"/>
          <w:szCs w:val="28"/>
          <w:lang w:val="en-US" w:eastAsia="zh-CN"/>
        </w:rPr>
        <w:t>根据</w:t>
      </w:r>
      <w:r>
        <w:rPr>
          <w:rFonts w:hint="eastAsia" w:ascii="宋体" w:hAnsi="宋体" w:eastAsia="宋体" w:cs="Tahoma"/>
          <w:sz w:val="28"/>
          <w:szCs w:val="28"/>
        </w:rPr>
        <w:t>《中华人民共和国政府采购法》</w:t>
      </w:r>
      <w:r>
        <w:rPr>
          <w:rFonts w:hint="eastAsia" w:ascii="宋体" w:hAnsi="宋体" w:eastAsia="宋体" w:cs="Tahoma"/>
          <w:color w:val="444444"/>
          <w:sz w:val="28"/>
          <w:szCs w:val="28"/>
          <w:shd w:val="clear" w:color="auto" w:fill="auto"/>
        </w:rPr>
        <w:t>《中华人民共和国民法典》</w:t>
      </w:r>
      <w:r>
        <w:rPr>
          <w:rFonts w:hint="eastAsia" w:ascii="宋体" w:hAnsi="宋体" w:eastAsia="宋体"/>
          <w:sz w:val="28"/>
          <w:szCs w:val="28"/>
        </w:rPr>
        <w:t>的规定，</w:t>
      </w:r>
      <w:r>
        <w:rPr>
          <w:rFonts w:hint="eastAsia" w:ascii="宋体" w:hAnsi="宋体" w:eastAsia="宋体"/>
          <w:kern w:val="28"/>
          <w:sz w:val="28"/>
          <w:szCs w:val="28"/>
        </w:rPr>
        <w:t>经双方协商，</w:t>
      </w:r>
      <w:r>
        <w:rPr>
          <w:rFonts w:hint="eastAsia" w:ascii="宋体" w:hAnsi="宋体" w:eastAsia="宋体"/>
          <w:sz w:val="28"/>
          <w:szCs w:val="28"/>
        </w:rPr>
        <w:t>本着平等互利和诚实信用的原则，</w:t>
      </w:r>
      <w:r>
        <w:rPr>
          <w:rFonts w:hint="eastAsia" w:ascii="宋体" w:hAnsi="宋体" w:eastAsia="宋体"/>
          <w:kern w:val="28"/>
          <w:sz w:val="28"/>
          <w:szCs w:val="28"/>
        </w:rPr>
        <w:t>一致同意签订本合同如下</w:t>
      </w:r>
      <w:r>
        <w:rPr>
          <w:rFonts w:hint="eastAsia" w:ascii="宋体" w:hAnsi="宋体" w:eastAsia="宋体"/>
          <w:sz w:val="28"/>
          <w:szCs w:val="28"/>
        </w:rPr>
        <w:t>。</w:t>
      </w:r>
    </w:p>
    <w:p>
      <w:pPr>
        <w:spacing w:line="360" w:lineRule="auto"/>
        <w:ind w:firstLine="700" w:firstLineChars="250"/>
        <w:rPr>
          <w:rFonts w:hint="eastAsia" w:ascii="宋体" w:hAnsi="宋体" w:eastAsia="宋体"/>
          <w:sz w:val="28"/>
          <w:szCs w:val="28"/>
        </w:rPr>
      </w:pPr>
      <w:r>
        <w:rPr>
          <w:rFonts w:hint="eastAsia" w:ascii="宋体" w:hAnsi="宋体" w:eastAsia="宋体"/>
          <w:sz w:val="28"/>
          <w:szCs w:val="28"/>
        </w:rPr>
        <w:t>一、采购内容：</w:t>
      </w:r>
    </w:p>
    <w:tbl>
      <w:tblPr>
        <w:tblStyle w:val="7"/>
        <w:tblW w:w="11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1134"/>
        <w:gridCol w:w="1276"/>
        <w:gridCol w:w="3111"/>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6" w:hRule="atLeast"/>
          <w:jc w:val="center"/>
        </w:trPr>
        <w:tc>
          <w:tcPr>
            <w:tcW w:w="3397" w:type="dxa"/>
            <w:noWrap w:val="0"/>
            <w:vAlign w:val="center"/>
          </w:tcPr>
          <w:p>
            <w:pPr>
              <w:spacing w:line="360" w:lineRule="auto"/>
              <w:jc w:val="center"/>
              <w:rPr>
                <w:rFonts w:hint="eastAsia" w:ascii="宋体" w:hAnsi="宋体" w:eastAsia="宋体"/>
                <w:sz w:val="28"/>
                <w:szCs w:val="28"/>
              </w:rPr>
            </w:pPr>
            <w:r>
              <w:rPr>
                <w:rFonts w:hint="eastAsia" w:ascii="宋体" w:hAnsi="宋体" w:eastAsia="宋体"/>
                <w:sz w:val="28"/>
                <w:szCs w:val="28"/>
              </w:rPr>
              <w:t>名称内容</w:t>
            </w:r>
          </w:p>
        </w:tc>
        <w:tc>
          <w:tcPr>
            <w:tcW w:w="1134" w:type="dxa"/>
            <w:noWrap w:val="0"/>
            <w:vAlign w:val="center"/>
          </w:tcPr>
          <w:p>
            <w:pPr>
              <w:spacing w:line="360" w:lineRule="auto"/>
              <w:jc w:val="center"/>
              <w:rPr>
                <w:rFonts w:hint="eastAsia" w:ascii="宋体" w:hAnsi="宋体" w:eastAsia="宋体"/>
                <w:sz w:val="28"/>
                <w:szCs w:val="28"/>
              </w:rPr>
            </w:pPr>
            <w:r>
              <w:rPr>
                <w:rFonts w:hint="eastAsia" w:ascii="宋体" w:hAnsi="宋体" w:eastAsia="宋体"/>
                <w:sz w:val="28"/>
                <w:szCs w:val="28"/>
              </w:rPr>
              <w:t>数量</w:t>
            </w:r>
          </w:p>
        </w:tc>
        <w:tc>
          <w:tcPr>
            <w:tcW w:w="1276" w:type="dxa"/>
            <w:noWrap w:val="0"/>
            <w:vAlign w:val="center"/>
          </w:tcPr>
          <w:p>
            <w:pPr>
              <w:spacing w:line="360" w:lineRule="auto"/>
              <w:jc w:val="center"/>
              <w:rPr>
                <w:rFonts w:hint="eastAsia" w:ascii="宋体" w:hAnsi="宋体" w:eastAsia="宋体"/>
                <w:sz w:val="28"/>
                <w:szCs w:val="28"/>
              </w:rPr>
            </w:pPr>
            <w:r>
              <w:rPr>
                <w:rFonts w:hint="eastAsia" w:ascii="宋体" w:hAnsi="宋体" w:eastAsia="宋体"/>
                <w:sz w:val="28"/>
                <w:szCs w:val="28"/>
              </w:rPr>
              <w:t>单位</w:t>
            </w:r>
          </w:p>
        </w:tc>
        <w:tc>
          <w:tcPr>
            <w:tcW w:w="3111" w:type="dxa"/>
            <w:noWrap w:val="0"/>
            <w:vAlign w:val="center"/>
          </w:tcPr>
          <w:p>
            <w:pPr>
              <w:spacing w:line="360" w:lineRule="auto"/>
              <w:jc w:val="center"/>
              <w:rPr>
                <w:rFonts w:hint="eastAsia" w:ascii="宋体" w:hAnsi="宋体" w:eastAsia="宋体"/>
                <w:sz w:val="28"/>
                <w:szCs w:val="28"/>
              </w:rPr>
            </w:pPr>
            <w:r>
              <w:rPr>
                <w:rFonts w:hint="eastAsia" w:ascii="宋体" w:hAnsi="宋体" w:eastAsia="宋体"/>
                <w:sz w:val="28"/>
                <w:szCs w:val="28"/>
              </w:rPr>
              <w:t>单价（元）</w:t>
            </w:r>
          </w:p>
        </w:tc>
        <w:tc>
          <w:tcPr>
            <w:tcW w:w="2237" w:type="dxa"/>
            <w:noWrap w:val="0"/>
            <w:vAlign w:val="center"/>
          </w:tcPr>
          <w:p>
            <w:pPr>
              <w:spacing w:line="360" w:lineRule="auto"/>
              <w:ind w:firstLine="280" w:firstLineChars="100"/>
              <w:jc w:val="center"/>
              <w:rPr>
                <w:rFonts w:hint="eastAsia" w:ascii="宋体" w:hAnsi="宋体" w:eastAsia="宋体"/>
                <w:sz w:val="28"/>
                <w:szCs w:val="28"/>
              </w:rPr>
            </w:pPr>
            <w:r>
              <w:rPr>
                <w:rFonts w:hint="eastAsia" w:ascii="宋体" w:hAnsi="宋体" w:eastAsia="宋体"/>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3397" w:type="dxa"/>
            <w:noWrap w:val="0"/>
            <w:vAlign w:val="center"/>
          </w:tcPr>
          <w:p>
            <w:pPr>
              <w:spacing w:line="360" w:lineRule="auto"/>
              <w:jc w:val="center"/>
              <w:rPr>
                <w:rFonts w:hint="eastAsia" w:ascii="宋体" w:hAnsi="宋体" w:eastAsia="宋体"/>
                <w:sz w:val="24"/>
              </w:rPr>
            </w:pPr>
            <w:r>
              <w:rPr>
                <w:rFonts w:hint="eastAsia" w:ascii="宋体" w:hAnsi="宋体"/>
                <w:sz w:val="28"/>
                <w:szCs w:val="28"/>
                <w:u w:val="single"/>
                <w:lang w:val="en-US" w:eastAsia="zh-CN"/>
              </w:rPr>
              <w:t>广东省第一荣军优抚医院网络安全</w:t>
            </w:r>
            <w:r>
              <w:rPr>
                <w:rFonts w:hint="eastAsia" w:ascii="宋体" w:hAnsi="宋体" w:eastAsia="宋体"/>
                <w:sz w:val="28"/>
                <w:szCs w:val="28"/>
                <w:u w:val="single"/>
              </w:rPr>
              <w:t>服务</w:t>
            </w:r>
          </w:p>
        </w:tc>
        <w:tc>
          <w:tcPr>
            <w:tcW w:w="1134" w:type="dxa"/>
            <w:noWrap w:val="0"/>
            <w:vAlign w:val="center"/>
          </w:tcPr>
          <w:p>
            <w:pPr>
              <w:spacing w:line="360" w:lineRule="auto"/>
              <w:jc w:val="center"/>
              <w:rPr>
                <w:rFonts w:hint="eastAsia" w:ascii="宋体" w:hAnsi="宋体" w:eastAsia="宋体"/>
                <w:sz w:val="28"/>
                <w:szCs w:val="28"/>
              </w:rPr>
            </w:pPr>
            <w:r>
              <w:rPr>
                <w:rFonts w:hint="eastAsia" w:ascii="宋体" w:hAnsi="宋体" w:eastAsia="宋体"/>
                <w:sz w:val="28"/>
                <w:szCs w:val="28"/>
              </w:rPr>
              <w:t>1</w:t>
            </w:r>
          </w:p>
        </w:tc>
        <w:tc>
          <w:tcPr>
            <w:tcW w:w="1276" w:type="dxa"/>
            <w:noWrap w:val="0"/>
            <w:vAlign w:val="center"/>
          </w:tcPr>
          <w:p>
            <w:pPr>
              <w:spacing w:line="360" w:lineRule="auto"/>
              <w:jc w:val="center"/>
              <w:rPr>
                <w:rFonts w:hint="eastAsia" w:ascii="宋体" w:hAnsi="宋体" w:eastAsia="宋体"/>
                <w:sz w:val="28"/>
                <w:szCs w:val="28"/>
              </w:rPr>
            </w:pPr>
            <w:r>
              <w:rPr>
                <w:rFonts w:hint="eastAsia" w:ascii="宋体" w:hAnsi="宋体" w:eastAsia="宋体"/>
                <w:sz w:val="28"/>
                <w:szCs w:val="28"/>
              </w:rPr>
              <w:t>项</w:t>
            </w:r>
          </w:p>
        </w:tc>
        <w:tc>
          <w:tcPr>
            <w:tcW w:w="3111" w:type="dxa"/>
            <w:noWrap w:val="0"/>
            <w:vAlign w:val="center"/>
          </w:tcPr>
          <w:p>
            <w:pPr>
              <w:spacing w:line="360" w:lineRule="auto"/>
              <w:jc w:val="center"/>
              <w:rPr>
                <w:rFonts w:hint="eastAsia" w:ascii="宋体" w:hAnsi="宋体" w:eastAsia="宋体"/>
                <w:sz w:val="28"/>
                <w:szCs w:val="28"/>
              </w:rPr>
            </w:pPr>
            <w:r>
              <w:rPr>
                <w:rFonts w:hint="eastAsia" w:ascii="宋体" w:hAnsi="宋体" w:eastAsia="宋体"/>
                <w:sz w:val="28"/>
                <w:szCs w:val="28"/>
              </w:rPr>
              <w:t>¥</w:t>
            </w:r>
          </w:p>
        </w:tc>
        <w:tc>
          <w:tcPr>
            <w:tcW w:w="2237" w:type="dxa"/>
            <w:noWrap w:val="0"/>
            <w:vAlign w:val="center"/>
          </w:tcPr>
          <w:p>
            <w:pPr>
              <w:spacing w:line="360" w:lineRule="auto"/>
              <w:jc w:val="center"/>
              <w:rPr>
                <w:rFonts w:hint="eastAsia" w:ascii="宋体" w:hAnsi="宋体" w:eastAsia="宋体"/>
                <w:sz w:val="28"/>
                <w:szCs w:val="28"/>
              </w:rPr>
            </w:pPr>
            <w:r>
              <w:rPr>
                <w:rFonts w:hint="eastAsia" w:ascii="宋体" w:hAnsi="宋体" w:eastAsia="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397" w:type="dxa"/>
            <w:noWrap w:val="0"/>
            <w:vAlign w:val="center"/>
          </w:tcPr>
          <w:p>
            <w:pPr>
              <w:spacing w:line="360" w:lineRule="auto"/>
              <w:jc w:val="center"/>
              <w:rPr>
                <w:rFonts w:hint="eastAsia" w:ascii="宋体" w:hAnsi="宋体" w:eastAsia="宋体"/>
                <w:sz w:val="28"/>
                <w:szCs w:val="28"/>
              </w:rPr>
            </w:pPr>
            <w:r>
              <w:rPr>
                <w:rFonts w:hint="eastAsia" w:ascii="宋体" w:hAnsi="宋体" w:eastAsia="宋体"/>
                <w:sz w:val="28"/>
                <w:szCs w:val="28"/>
              </w:rPr>
              <w:t>总计（含税）</w:t>
            </w:r>
          </w:p>
        </w:tc>
        <w:tc>
          <w:tcPr>
            <w:tcW w:w="7758" w:type="dxa"/>
            <w:gridSpan w:val="4"/>
            <w:noWrap w:val="0"/>
            <w:vAlign w:val="center"/>
          </w:tcPr>
          <w:p>
            <w:pPr>
              <w:spacing w:line="360" w:lineRule="auto"/>
              <w:jc w:val="center"/>
              <w:rPr>
                <w:rFonts w:hint="eastAsia" w:ascii="宋体" w:hAnsi="宋体" w:eastAsia="宋体"/>
                <w:sz w:val="28"/>
                <w:szCs w:val="28"/>
              </w:rPr>
            </w:pPr>
            <w:r>
              <w:rPr>
                <w:rFonts w:hint="eastAsia" w:ascii="宋体" w:hAnsi="宋体" w:eastAsia="宋体"/>
                <w:sz w:val="28"/>
                <w:szCs w:val="28"/>
              </w:rPr>
              <w:t>大写：</w:t>
            </w:r>
            <w:r>
              <w:rPr>
                <w:rFonts w:hint="eastAsia" w:ascii="宋体" w:hAnsi="宋体"/>
                <w:sz w:val="28"/>
                <w:szCs w:val="28"/>
                <w:u w:val="single"/>
                <w:lang w:val="en-US" w:eastAsia="zh-CN"/>
              </w:rPr>
              <w:t xml:space="preserve"> </w:t>
            </w:r>
            <w:r>
              <w:rPr>
                <w:rFonts w:hint="eastAsia" w:ascii="宋体" w:hAnsi="宋体" w:eastAsia="宋体"/>
                <w:sz w:val="28"/>
                <w:szCs w:val="28"/>
              </w:rPr>
              <w:t>元整（¥ 元整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397" w:type="dxa"/>
            <w:noWrap w:val="0"/>
            <w:vAlign w:val="center"/>
          </w:tcPr>
          <w:p>
            <w:pPr>
              <w:spacing w:line="360" w:lineRule="auto"/>
              <w:jc w:val="center"/>
              <w:rPr>
                <w:rFonts w:hint="eastAsia" w:ascii="宋体" w:hAnsi="宋体" w:eastAsia="宋体"/>
                <w:sz w:val="28"/>
                <w:szCs w:val="28"/>
              </w:rPr>
            </w:pPr>
            <w:r>
              <w:rPr>
                <w:rFonts w:hint="eastAsia" w:ascii="宋体" w:hAnsi="宋体" w:eastAsia="宋体"/>
                <w:kern w:val="0"/>
                <w:sz w:val="28"/>
                <w:szCs w:val="28"/>
              </w:rPr>
              <w:t>备注</w:t>
            </w:r>
          </w:p>
        </w:tc>
        <w:tc>
          <w:tcPr>
            <w:tcW w:w="7758" w:type="dxa"/>
            <w:gridSpan w:val="4"/>
            <w:noWrap w:val="0"/>
            <w:vAlign w:val="center"/>
          </w:tcPr>
          <w:p>
            <w:pPr>
              <w:spacing w:line="300" w:lineRule="auto"/>
              <w:jc w:val="center"/>
              <w:rPr>
                <w:rFonts w:hint="eastAsia" w:ascii="宋体" w:hAnsi="宋体"/>
                <w:sz w:val="28"/>
                <w:szCs w:val="28"/>
              </w:rPr>
            </w:pPr>
          </w:p>
        </w:tc>
      </w:tr>
    </w:tbl>
    <w:p>
      <w:pPr>
        <w:pStyle w:val="5"/>
        <w:spacing w:line="540" w:lineRule="exact"/>
        <w:rPr>
          <w:rFonts w:hint="eastAsia" w:ascii="宋体" w:hAnsi="宋体" w:eastAsia="宋体"/>
          <w:b/>
          <w:sz w:val="28"/>
          <w:szCs w:val="28"/>
        </w:rPr>
      </w:pPr>
      <w:r>
        <w:rPr>
          <w:rFonts w:hint="eastAsia" w:ascii="宋体" w:hAnsi="宋体" w:eastAsia="宋体"/>
          <w:b/>
          <w:sz w:val="28"/>
          <w:szCs w:val="28"/>
        </w:rPr>
        <w:t xml:space="preserve">二、服务期限：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Tahoma"/>
          <w:sz w:val="28"/>
          <w:szCs w:val="28"/>
          <w:lang w:val="en-US" w:eastAsia="zh-CN"/>
        </w:rPr>
      </w:pPr>
      <w:r>
        <w:rPr>
          <w:rFonts w:hint="eastAsia" w:ascii="宋体" w:hAnsi="宋体" w:eastAsia="宋体" w:cs="Tahoma"/>
          <w:sz w:val="28"/>
          <w:szCs w:val="28"/>
          <w:lang w:val="en-US" w:eastAsia="zh-CN"/>
        </w:rPr>
        <w:t>服务期：自本合同签订之日起一年。</w:t>
      </w:r>
    </w:p>
    <w:p>
      <w:pPr>
        <w:spacing w:line="540" w:lineRule="exact"/>
        <w:rPr>
          <w:rFonts w:hint="eastAsia" w:ascii="宋体" w:hAnsi="宋体" w:eastAsia="宋体"/>
          <w:sz w:val="28"/>
          <w:szCs w:val="28"/>
        </w:rPr>
      </w:pPr>
      <w:r>
        <w:rPr>
          <w:rFonts w:hint="eastAsia" w:ascii="宋体" w:hAnsi="宋体" w:eastAsia="宋体"/>
          <w:b/>
          <w:sz w:val="28"/>
          <w:szCs w:val="28"/>
        </w:rPr>
        <w:t>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ahoma"/>
          <w:sz w:val="28"/>
          <w:szCs w:val="28"/>
          <w:lang w:val="en-US" w:eastAsia="zh-CN"/>
        </w:rPr>
      </w:pPr>
      <w:r>
        <w:rPr>
          <w:rFonts w:hint="eastAsia" w:ascii="宋体" w:hAnsi="宋体" w:eastAsia="宋体" w:cs="Tahoma"/>
          <w:sz w:val="28"/>
          <w:szCs w:val="28"/>
          <w:lang w:val="en-US" w:eastAsia="zh-CN"/>
        </w:rPr>
        <w:t>本合同项下服务内容为网络安全服务，具体详见附件一服务内容清单。</w:t>
      </w:r>
      <w:r>
        <w:rPr>
          <w:rFonts w:hint="eastAsia" w:ascii="宋体" w:hAnsi="宋体" w:cs="Tahoma"/>
          <w:sz w:val="28"/>
          <w:szCs w:val="28"/>
          <w:lang w:val="en-US" w:eastAsia="zh-CN"/>
        </w:rPr>
        <w:t>招标需求文件及附件均为</w:t>
      </w:r>
      <w:r>
        <w:rPr>
          <w:rFonts w:hint="eastAsia" w:ascii="宋体" w:hAnsi="宋体" w:eastAsia="宋体" w:cs="Tahoma"/>
          <w:sz w:val="28"/>
          <w:szCs w:val="28"/>
          <w:lang w:val="en-US" w:eastAsia="zh-CN"/>
        </w:rPr>
        <w:t>为本合同不可分割的组成部分，与本合同具有同等法律效力</w:t>
      </w:r>
      <w:r>
        <w:rPr>
          <w:rFonts w:hint="eastAsia" w:ascii="宋体" w:hAnsi="宋体" w:cs="Tahoma"/>
          <w:sz w:val="28"/>
          <w:szCs w:val="28"/>
          <w:lang w:val="en-US" w:eastAsia="zh-CN"/>
        </w:rPr>
        <w:t>。</w:t>
      </w:r>
    </w:p>
    <w:p>
      <w:pPr>
        <w:spacing w:line="540" w:lineRule="exact"/>
        <w:rPr>
          <w:rFonts w:hint="eastAsia" w:ascii="宋体" w:hAnsi="宋体" w:eastAsia="宋体"/>
          <w:b/>
          <w:sz w:val="28"/>
          <w:szCs w:val="28"/>
        </w:rPr>
      </w:pPr>
      <w:r>
        <w:rPr>
          <w:rFonts w:hint="eastAsia" w:ascii="宋体" w:hAnsi="宋体" w:eastAsia="宋体"/>
          <w:b/>
          <w:sz w:val="28"/>
          <w:szCs w:val="28"/>
        </w:rPr>
        <w:t>四、甲乙</w:t>
      </w:r>
      <w:r>
        <w:rPr>
          <w:rFonts w:hint="eastAsia" w:ascii="宋体" w:hAnsi="宋体" w:eastAsia="宋体"/>
          <w:b/>
          <w:sz w:val="28"/>
          <w:szCs w:val="28"/>
          <w:lang w:val="en-US" w:eastAsia="zh-CN"/>
        </w:rPr>
        <w:t>双</w:t>
      </w:r>
      <w:r>
        <w:rPr>
          <w:rFonts w:hint="eastAsia" w:ascii="宋体" w:hAnsi="宋体" w:eastAsia="宋体"/>
          <w:b/>
          <w:sz w:val="28"/>
          <w:szCs w:val="28"/>
        </w:rPr>
        <w:t>方的权利和义务</w:t>
      </w:r>
    </w:p>
    <w:p>
      <w:pPr>
        <w:spacing w:line="540" w:lineRule="exact"/>
        <w:rPr>
          <w:rFonts w:hint="eastAsia" w:ascii="宋体" w:hAnsi="宋体" w:eastAsia="宋体"/>
          <w:sz w:val="28"/>
          <w:szCs w:val="28"/>
        </w:rPr>
      </w:pPr>
      <w:r>
        <w:rPr>
          <w:rFonts w:hint="eastAsia" w:ascii="宋体" w:hAnsi="宋体" w:eastAsia="宋体"/>
          <w:sz w:val="28"/>
          <w:szCs w:val="28"/>
        </w:rPr>
        <w:t>（一）甲方的权利和义务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ahoma"/>
          <w:sz w:val="28"/>
          <w:szCs w:val="28"/>
          <w:lang w:val="en-US" w:eastAsia="zh-CN"/>
        </w:rPr>
      </w:pPr>
      <w:r>
        <w:rPr>
          <w:rFonts w:hint="eastAsia" w:ascii="宋体" w:hAnsi="宋体" w:eastAsia="宋体" w:cs="Tahoma"/>
          <w:sz w:val="28"/>
          <w:szCs w:val="28"/>
          <w:lang w:val="en-US" w:eastAsia="zh-CN"/>
        </w:rPr>
        <w:t>1.甲方向乙方提供双方一致同意的</w:t>
      </w:r>
      <w:r>
        <w:rPr>
          <w:rFonts w:hint="eastAsia" w:ascii="宋体" w:hAnsi="宋体" w:cs="Tahoma"/>
          <w:sz w:val="28"/>
          <w:szCs w:val="28"/>
          <w:lang w:val="en-US" w:eastAsia="zh-CN"/>
        </w:rPr>
        <w:t>实施</w:t>
      </w:r>
      <w:r>
        <w:rPr>
          <w:rFonts w:hint="eastAsia" w:ascii="宋体" w:hAnsi="宋体" w:eastAsia="宋体" w:cs="Tahoma"/>
          <w:sz w:val="28"/>
          <w:szCs w:val="28"/>
          <w:lang w:val="en-US" w:eastAsia="zh-CN"/>
        </w:rPr>
        <w:t>服务所必要的数据、计算机、文档、文件和其它信息资源。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ahoma"/>
          <w:sz w:val="28"/>
          <w:szCs w:val="28"/>
          <w:lang w:val="en-US" w:eastAsia="zh-CN"/>
        </w:rPr>
      </w:pPr>
      <w:r>
        <w:rPr>
          <w:rFonts w:hint="eastAsia" w:ascii="宋体" w:hAnsi="宋体" w:eastAsia="宋体" w:cs="Tahoma"/>
          <w:sz w:val="28"/>
          <w:szCs w:val="28"/>
          <w:lang w:val="en-US" w:eastAsia="zh-CN"/>
        </w:rPr>
        <w:t>2.甲方明确本项目实施服务的对接人，建立沟通渠道，方便沟通及工作的开展。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ahoma"/>
          <w:sz w:val="28"/>
          <w:szCs w:val="28"/>
          <w:lang w:val="en-US" w:eastAsia="zh-CN"/>
        </w:rPr>
      </w:pPr>
      <w:r>
        <w:rPr>
          <w:rFonts w:hint="eastAsia" w:ascii="宋体" w:hAnsi="宋体" w:eastAsia="宋体" w:cs="Tahoma"/>
          <w:sz w:val="28"/>
          <w:szCs w:val="28"/>
          <w:lang w:val="en-US" w:eastAsia="zh-CN"/>
        </w:rPr>
        <w:t>3.甲方有权监督并检查乙方项目服务情况，乙方须配合甲方了解项目服务进展。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ahoma"/>
          <w:sz w:val="28"/>
          <w:szCs w:val="28"/>
          <w:lang w:val="en-US" w:eastAsia="zh-CN"/>
        </w:rPr>
      </w:pPr>
      <w:r>
        <w:rPr>
          <w:rFonts w:hint="eastAsia" w:ascii="宋体" w:hAnsi="宋体" w:eastAsia="宋体" w:cs="Tahoma"/>
          <w:sz w:val="28"/>
          <w:szCs w:val="28"/>
          <w:lang w:val="en-US" w:eastAsia="zh-CN"/>
        </w:rPr>
        <w:t>4.甲方有权就乙方实施服务过程提出意见和更换不符合要求的驻场人员，乙方需按照甲方的要求进行整改（仅限合同范围内）。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ahoma"/>
          <w:sz w:val="28"/>
          <w:szCs w:val="28"/>
          <w:lang w:val="en-US" w:eastAsia="zh-CN"/>
        </w:rPr>
      </w:pPr>
      <w:r>
        <w:rPr>
          <w:rFonts w:hint="eastAsia" w:ascii="宋体" w:hAnsi="宋体" w:eastAsia="宋体" w:cs="Tahoma"/>
          <w:sz w:val="28"/>
          <w:szCs w:val="28"/>
          <w:lang w:val="en-US" w:eastAsia="zh-CN"/>
        </w:rPr>
        <w:t>5.遵循本合同付款方式向乙方按期付清合同所涉款项。</w:t>
      </w:r>
    </w:p>
    <w:p>
      <w:pPr>
        <w:spacing w:line="540" w:lineRule="exact"/>
        <w:rPr>
          <w:rFonts w:hint="eastAsia" w:ascii="宋体" w:hAnsi="宋体" w:eastAsia="宋体"/>
          <w:sz w:val="28"/>
          <w:szCs w:val="28"/>
        </w:rPr>
      </w:pPr>
      <w:r>
        <w:rPr>
          <w:rFonts w:hint="eastAsia" w:ascii="宋体" w:hAnsi="宋体" w:eastAsia="宋体"/>
          <w:sz w:val="28"/>
          <w:szCs w:val="28"/>
        </w:rPr>
        <w:t>（二）乙方的权利和义务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ahoma"/>
          <w:sz w:val="28"/>
          <w:szCs w:val="28"/>
          <w:lang w:val="en-US" w:eastAsia="zh-CN"/>
        </w:rPr>
      </w:pPr>
      <w:r>
        <w:rPr>
          <w:rFonts w:hint="eastAsia" w:ascii="宋体" w:hAnsi="宋体" w:eastAsia="宋体" w:cs="Tahoma"/>
          <w:sz w:val="28"/>
          <w:szCs w:val="28"/>
          <w:lang w:val="en-US" w:eastAsia="zh-CN"/>
        </w:rPr>
        <w:t>1.乙方安排驻场人员及远程技术支持提供相应服务内容。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ahoma"/>
          <w:sz w:val="28"/>
          <w:szCs w:val="28"/>
          <w:lang w:val="en-US" w:eastAsia="zh-CN"/>
        </w:rPr>
      </w:pPr>
      <w:r>
        <w:rPr>
          <w:rFonts w:hint="eastAsia" w:ascii="宋体" w:hAnsi="宋体" w:eastAsia="宋体" w:cs="Tahoma"/>
          <w:sz w:val="28"/>
          <w:szCs w:val="28"/>
          <w:lang w:val="en-US" w:eastAsia="zh-CN"/>
        </w:rPr>
        <w:t>2.乙方为本合同标的服务项目工作开展提供必要的资料。</w:t>
      </w:r>
    </w:p>
    <w:p>
      <w:pPr>
        <w:spacing w:line="540" w:lineRule="exact"/>
        <w:rPr>
          <w:rFonts w:hint="eastAsia" w:ascii="宋体" w:hAnsi="宋体" w:eastAsia="宋体"/>
          <w:b/>
          <w:sz w:val="28"/>
          <w:szCs w:val="28"/>
        </w:rPr>
      </w:pPr>
      <w:r>
        <w:rPr>
          <w:rFonts w:hint="eastAsia" w:ascii="宋体" w:hAnsi="宋体" w:eastAsia="宋体"/>
          <w:b/>
          <w:sz w:val="28"/>
          <w:szCs w:val="28"/>
        </w:rPr>
        <w:t>五、项目验收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ahoma"/>
          <w:sz w:val="28"/>
          <w:szCs w:val="28"/>
          <w:lang w:val="en-US" w:eastAsia="zh-CN"/>
        </w:rPr>
      </w:pPr>
      <w:r>
        <w:rPr>
          <w:rFonts w:hint="eastAsia" w:ascii="宋体" w:hAnsi="宋体" w:eastAsia="宋体" w:cs="Tahoma"/>
          <w:sz w:val="28"/>
          <w:szCs w:val="28"/>
          <w:lang w:val="en-US" w:eastAsia="zh-CN"/>
        </w:rPr>
        <w:t>乙方在服务期完成后提交相关的</w:t>
      </w:r>
      <w:r>
        <w:rPr>
          <w:rFonts w:hint="eastAsia" w:ascii="宋体" w:hAnsi="宋体" w:cs="Tahoma"/>
          <w:sz w:val="28"/>
          <w:szCs w:val="28"/>
          <w:lang w:val="en-US" w:eastAsia="zh-CN"/>
        </w:rPr>
        <w:t>项目</w:t>
      </w:r>
      <w:r>
        <w:rPr>
          <w:rFonts w:hint="eastAsia" w:ascii="宋体" w:hAnsi="宋体" w:eastAsia="宋体" w:cs="Tahoma"/>
          <w:sz w:val="28"/>
          <w:szCs w:val="28"/>
          <w:lang w:val="en-US" w:eastAsia="zh-CN"/>
        </w:rPr>
        <w:t>过程文件及</w:t>
      </w:r>
      <w:r>
        <w:rPr>
          <w:rFonts w:hint="eastAsia" w:ascii="宋体" w:hAnsi="宋体" w:cs="Tahoma"/>
          <w:sz w:val="28"/>
          <w:szCs w:val="28"/>
          <w:lang w:val="en-US" w:eastAsia="zh-CN"/>
        </w:rPr>
        <w:t>验收</w:t>
      </w:r>
      <w:r>
        <w:rPr>
          <w:rFonts w:hint="eastAsia" w:ascii="宋体" w:hAnsi="宋体" w:eastAsia="宋体" w:cs="Tahoma"/>
          <w:sz w:val="28"/>
          <w:szCs w:val="28"/>
          <w:lang w:val="en-US" w:eastAsia="zh-CN"/>
        </w:rPr>
        <w:t>报告后的15个工作日内，甲方应组织验收；若由于甲方原因15个工作日内未组织验收则视为自动验收通过。验收标准由甲乙双方根据本合同及附件内容确定。</w:t>
      </w:r>
    </w:p>
    <w:p>
      <w:pPr>
        <w:spacing w:line="540" w:lineRule="exact"/>
        <w:rPr>
          <w:rFonts w:hint="eastAsia" w:ascii="宋体" w:hAnsi="宋体" w:eastAsia="宋体"/>
          <w:b/>
          <w:sz w:val="28"/>
          <w:szCs w:val="28"/>
        </w:rPr>
      </w:pPr>
      <w:r>
        <w:rPr>
          <w:rFonts w:hint="eastAsia" w:ascii="宋体" w:hAnsi="宋体" w:eastAsia="宋体"/>
          <w:b/>
          <w:sz w:val="28"/>
          <w:szCs w:val="28"/>
        </w:rPr>
        <w:t>六、付款方式</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预付款：合同签订生效</w:t>
      </w:r>
      <w:r>
        <w:rPr>
          <w:rFonts w:hint="eastAsia" w:ascii="宋体" w:hAnsi="宋体" w:cs="宋体"/>
          <w:sz w:val="28"/>
          <w:szCs w:val="28"/>
          <w:lang w:val="en-US" w:eastAsia="zh-CN"/>
        </w:rPr>
        <w:t>后，</w:t>
      </w:r>
      <w:r>
        <w:rPr>
          <w:rFonts w:hint="eastAsia" w:ascii="宋体" w:hAnsi="宋体" w:eastAsia="宋体" w:cs="宋体"/>
          <w:sz w:val="28"/>
          <w:szCs w:val="28"/>
          <w:lang w:val="en-US" w:eastAsia="zh-CN"/>
        </w:rPr>
        <w:t>甲方收到乙方</w:t>
      </w:r>
      <w:r>
        <w:rPr>
          <w:rFonts w:hint="eastAsia" w:ascii="宋体" w:hAnsi="宋体" w:cs="宋体"/>
          <w:sz w:val="28"/>
          <w:szCs w:val="28"/>
          <w:lang w:val="en-US" w:eastAsia="zh-CN"/>
        </w:rPr>
        <w:t>履约保证金且乙方</w:t>
      </w:r>
      <w:r>
        <w:rPr>
          <w:rFonts w:hint="eastAsia" w:ascii="宋体" w:hAnsi="宋体" w:eastAsia="宋体" w:cs="宋体"/>
          <w:sz w:val="28"/>
          <w:szCs w:val="28"/>
          <w:lang w:val="en-US" w:eastAsia="zh-CN"/>
        </w:rPr>
        <w:t>开具与应付金额等额的有效增值税发票后15个工作日内，甲方向乙方支付合同总金额的30%，即人民币（大写）：________元（¥________元）。</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二期款：合同签订生效满三个月，乙方提交当期《网络安全服务满意度调查表》，并开具与应付金额等额的有效增值税发票，甲方在收到后15个工作日内，支付合同总金额的</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0%，即人民币（大写）：________元（¥________元）。</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三期款：合同签订生效满六个月，乙方提交当期《网络安全服务满意度调查表》，并开具与应付金额等额的有效增值税发票，甲方在收到后15个工作日内，支付合同总金额的</w:t>
      </w:r>
      <w:r>
        <w:rPr>
          <w:rFonts w:hint="eastAsia" w:ascii="宋体" w:hAnsi="宋体" w:cs="宋体"/>
          <w:sz w:val="28"/>
          <w:szCs w:val="28"/>
          <w:lang w:val="en-US" w:eastAsia="zh-CN"/>
        </w:rPr>
        <w:t>10</w:t>
      </w:r>
      <w:r>
        <w:rPr>
          <w:rFonts w:hint="eastAsia" w:ascii="宋体" w:hAnsi="宋体" w:eastAsia="宋体" w:cs="宋体"/>
          <w:sz w:val="28"/>
          <w:szCs w:val="28"/>
          <w:lang w:val="en-US" w:eastAsia="zh-CN"/>
        </w:rPr>
        <w:t>%，即人民币（大写）：________元（¥________元）。</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四期款：合同签订生效满九个月，乙方提交当期《网络安全服务满意度调查表》，并开具与应付金额等额的有效增值税发票，甲方在收到后15个工作日内，支付合同总金额的20%，即人民币（大写）：________元（¥________元）。</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5.</w:t>
      </w:r>
      <w:r>
        <w:rPr>
          <w:rFonts w:hint="eastAsia" w:ascii="宋体" w:hAnsi="宋体" w:eastAsia="宋体" w:cs="宋体"/>
          <w:sz w:val="28"/>
          <w:szCs w:val="28"/>
          <w:lang w:val="en-US" w:eastAsia="zh-CN"/>
        </w:rPr>
        <w:t>尾款：本合同项目服务期满后，乙方提交服务期内《网络安全服务满意度调查表》《网络安全服务验收检查表》及《验收报告》，并开具与应付金额等额的有效增值税发票，甲方在收到后15个工作日内，支付合同总金额剩余的</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0%，即人民币（大写）：________元（¥________元）。</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6.</w:t>
      </w:r>
      <w:r>
        <w:rPr>
          <w:rFonts w:hint="eastAsia" w:ascii="宋体" w:hAnsi="宋体" w:eastAsia="宋体" w:cs="宋体"/>
          <w:sz w:val="28"/>
          <w:szCs w:val="28"/>
          <w:lang w:val="en-US" w:eastAsia="zh-CN"/>
        </w:rPr>
        <w:t>说明：上述《网络安全服务满意度调查表》须经甲方核验结果为 “满意”，方视为验收通过。若核验结果为 “不满意”，甲方下发整改通知书后，乙方应在15个工作日内完成整改；若二次核验仍为 “不满意”、未按期完成整改或拒不配合整改的，甲方将按照本合同 “第七条 违约责任” 第3款约定执行处罚。</w:t>
      </w:r>
    </w:p>
    <w:p>
      <w:pPr>
        <w:tabs>
          <w:tab w:val="left" w:pos="900"/>
        </w:tabs>
        <w:spacing w:line="540" w:lineRule="exact"/>
        <w:rPr>
          <w:rFonts w:hint="eastAsia" w:ascii="宋体" w:hAnsi="宋体" w:eastAsia="宋体"/>
          <w:b/>
          <w:sz w:val="28"/>
          <w:szCs w:val="28"/>
          <w:lang w:eastAsia="zh-CN"/>
        </w:rPr>
      </w:pPr>
      <w:r>
        <w:rPr>
          <w:rFonts w:hint="eastAsia" w:ascii="宋体" w:hAnsi="宋体" w:eastAsia="宋体"/>
          <w:b/>
          <w:sz w:val="28"/>
          <w:szCs w:val="28"/>
        </w:rPr>
        <w:t>七、</w:t>
      </w:r>
      <w:r>
        <w:rPr>
          <w:rFonts w:hint="eastAsia" w:ascii="宋体" w:hAnsi="宋体" w:eastAsia="宋体"/>
          <w:b/>
          <w:sz w:val="28"/>
          <w:szCs w:val="28"/>
          <w:lang w:eastAsia="zh-CN"/>
        </w:rPr>
        <w:t>履约保证金</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1.乙方</w:t>
      </w:r>
      <w:r>
        <w:rPr>
          <w:rFonts w:hint="eastAsia" w:ascii="宋体" w:hAnsi="宋体" w:eastAsia="宋体" w:cs="宋体"/>
          <w:sz w:val="28"/>
          <w:szCs w:val="28"/>
          <w:lang w:val="en-US" w:eastAsia="zh-CN"/>
        </w:rPr>
        <w:t>须在合同签订后</w:t>
      </w:r>
      <w:r>
        <w:rPr>
          <w:rFonts w:hint="eastAsia" w:ascii="宋体" w:hAnsi="宋体" w:cs="宋体"/>
          <w:sz w:val="28"/>
          <w:szCs w:val="28"/>
          <w:lang w:val="en-US" w:eastAsia="zh-CN"/>
        </w:rPr>
        <w:t>5个工作日内</w:t>
      </w:r>
      <w:r>
        <w:rPr>
          <w:rFonts w:hint="eastAsia" w:ascii="宋体" w:hAnsi="宋体" w:eastAsia="宋体" w:cs="宋体"/>
          <w:sz w:val="28"/>
          <w:szCs w:val="28"/>
          <w:lang w:val="en-US" w:eastAsia="zh-CN"/>
        </w:rPr>
        <w:t>，向医院缴纳履约保证金，金额为合同总金额的5%。</w:t>
      </w:r>
      <w:r>
        <w:rPr>
          <w:rFonts w:hint="eastAsia" w:ascii="宋体" w:hAnsi="宋体" w:eastAsia="宋体" w:cs="宋体"/>
          <w:color w:val="auto"/>
          <w:kern w:val="2"/>
          <w:sz w:val="28"/>
          <w:szCs w:val="28"/>
          <w:highlight w:val="none"/>
          <w:u w:val="none"/>
          <w:lang w:eastAsia="zh-CN"/>
        </w:rPr>
        <w:t>履约保证金缴纳方式：转账、见索即付的银行保函。</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履约保证金用于担保乙方严格履行合同约定的全部安全义务及服务要求，若乙方未按合同约定执行，医院有权扣除相应履约保证金。</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3.服务</w:t>
      </w:r>
      <w:r>
        <w:rPr>
          <w:rFonts w:hint="eastAsia" w:ascii="宋体" w:hAnsi="宋体" w:eastAsia="宋体" w:cs="宋体"/>
          <w:sz w:val="28"/>
          <w:szCs w:val="28"/>
          <w:lang w:val="en-US" w:eastAsia="zh-CN"/>
        </w:rPr>
        <w:t>全部</w:t>
      </w:r>
      <w:r>
        <w:rPr>
          <w:rFonts w:hint="eastAsia" w:ascii="宋体" w:hAnsi="宋体" w:cs="宋体"/>
          <w:sz w:val="28"/>
          <w:szCs w:val="28"/>
          <w:lang w:val="en-US" w:eastAsia="zh-CN"/>
        </w:rPr>
        <w:t>完成</w:t>
      </w:r>
      <w:r>
        <w:rPr>
          <w:rFonts w:hint="eastAsia" w:ascii="宋体" w:hAnsi="宋体" w:eastAsia="宋体" w:cs="宋体"/>
          <w:sz w:val="28"/>
          <w:szCs w:val="28"/>
          <w:lang w:val="en-US" w:eastAsia="zh-CN"/>
        </w:rPr>
        <w:t>、通过医院最终验收合格后，乙方可提交履约保证金退还申请，并经甲方相关部门确认同意后30个工作日内，将履约保证金无息全额退还乙方。</w:t>
      </w:r>
    </w:p>
    <w:p>
      <w:pPr>
        <w:tabs>
          <w:tab w:val="left" w:pos="900"/>
        </w:tabs>
        <w:spacing w:line="540" w:lineRule="exact"/>
        <w:rPr>
          <w:rFonts w:hint="eastAsia" w:ascii="宋体" w:hAnsi="宋体" w:eastAsia="宋体"/>
          <w:b/>
          <w:sz w:val="28"/>
          <w:szCs w:val="28"/>
        </w:rPr>
      </w:pPr>
      <w:r>
        <w:rPr>
          <w:rFonts w:hint="eastAsia" w:ascii="宋体" w:hAnsi="宋体"/>
          <w:b/>
          <w:sz w:val="28"/>
          <w:szCs w:val="28"/>
          <w:lang w:eastAsia="zh-CN"/>
        </w:rPr>
        <w:t>八</w:t>
      </w:r>
      <w:r>
        <w:rPr>
          <w:rFonts w:hint="eastAsia" w:ascii="宋体" w:hAnsi="宋体" w:eastAsia="宋体"/>
          <w:b/>
          <w:sz w:val="28"/>
          <w:szCs w:val="28"/>
        </w:rPr>
        <w:t>、违约责任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ahoma"/>
          <w:sz w:val="28"/>
          <w:szCs w:val="28"/>
          <w:lang w:val="en-US" w:eastAsia="zh-CN"/>
        </w:rPr>
      </w:pPr>
      <w:r>
        <w:rPr>
          <w:rFonts w:hint="eastAsia" w:ascii="宋体" w:hAnsi="宋体" w:eastAsia="宋体" w:cs="Tahoma"/>
          <w:sz w:val="28"/>
          <w:szCs w:val="28"/>
          <w:lang w:val="en-US" w:eastAsia="zh-CN"/>
        </w:rPr>
        <w:t>1、本合同生效之后，任何一方违反本合同规定，除了承担违约金外，还要承担守约方向违约方追究违约责任所支付的一切费用，包括但不限于律师费、诉讼费、保全费、公告费、鉴定费、交通食宿费等。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ahoma"/>
          <w:sz w:val="28"/>
          <w:szCs w:val="28"/>
          <w:lang w:val="en-US" w:eastAsia="zh-CN"/>
        </w:rPr>
      </w:pPr>
      <w:r>
        <w:rPr>
          <w:rFonts w:hint="eastAsia" w:ascii="宋体" w:hAnsi="宋体" w:eastAsia="宋体" w:cs="Tahoma"/>
          <w:sz w:val="28"/>
          <w:szCs w:val="28"/>
          <w:lang w:val="en-US" w:eastAsia="zh-CN"/>
        </w:rPr>
        <w:t>2、甲方延迟付款的，每逾期一日，应向乙方支付合同总金额千分之三的违约金，总额不超过合同金额20%，逾期超过15日，乙方有权单方解除合同。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ahoma"/>
          <w:sz w:val="28"/>
          <w:szCs w:val="28"/>
          <w:lang w:val="en-US" w:eastAsia="zh-CN"/>
        </w:rPr>
      </w:pPr>
      <w:r>
        <w:rPr>
          <w:rFonts w:hint="eastAsia" w:ascii="宋体" w:hAnsi="宋体" w:eastAsia="宋体" w:cs="Tahoma"/>
          <w:sz w:val="28"/>
          <w:szCs w:val="28"/>
          <w:lang w:val="en-US" w:eastAsia="zh-CN"/>
        </w:rPr>
        <w:t>3、乙方延迟完成日常服务工作的，每逾期一日，应向甲方支付合同总金额千分之</w:t>
      </w:r>
      <w:r>
        <w:rPr>
          <w:rFonts w:hint="eastAsia" w:ascii="宋体" w:hAnsi="宋体" w:cs="Tahoma"/>
          <w:sz w:val="28"/>
          <w:szCs w:val="28"/>
          <w:lang w:val="en-US" w:eastAsia="zh-CN"/>
        </w:rPr>
        <w:t>五</w:t>
      </w:r>
      <w:r>
        <w:rPr>
          <w:rFonts w:hint="eastAsia" w:ascii="宋体" w:hAnsi="宋体" w:eastAsia="宋体" w:cs="Tahoma"/>
          <w:sz w:val="28"/>
          <w:szCs w:val="28"/>
          <w:lang w:val="en-US" w:eastAsia="zh-CN"/>
        </w:rPr>
        <w:t>的违约金，总额不超过合同金额20%，逾期超过15日，甲方有权单方解除合同；乙方未能按约定完成</w:t>
      </w:r>
      <w:r>
        <w:rPr>
          <w:rFonts w:hint="eastAsia" w:ascii="宋体" w:hAnsi="宋体" w:cs="Tahoma"/>
          <w:sz w:val="28"/>
          <w:szCs w:val="28"/>
          <w:lang w:val="en-US" w:eastAsia="zh-CN"/>
        </w:rPr>
        <w:t>问题</w:t>
      </w:r>
      <w:r>
        <w:rPr>
          <w:rFonts w:hint="eastAsia" w:ascii="宋体" w:hAnsi="宋体" w:eastAsia="宋体" w:cs="Tahoma"/>
          <w:sz w:val="28"/>
          <w:szCs w:val="28"/>
          <w:lang w:val="en-US" w:eastAsia="zh-CN"/>
        </w:rPr>
        <w:t>响应并处理的，每逾期一日，应向甲方支付合同总金额千分之</w:t>
      </w:r>
      <w:r>
        <w:rPr>
          <w:rFonts w:hint="eastAsia" w:ascii="宋体" w:hAnsi="宋体" w:cs="Tahoma"/>
          <w:sz w:val="28"/>
          <w:szCs w:val="28"/>
          <w:lang w:val="en-US" w:eastAsia="zh-CN"/>
        </w:rPr>
        <w:t>五</w:t>
      </w:r>
      <w:r>
        <w:rPr>
          <w:rFonts w:hint="eastAsia" w:ascii="宋体" w:hAnsi="宋体" w:eastAsia="宋体" w:cs="Tahoma"/>
          <w:sz w:val="28"/>
          <w:szCs w:val="28"/>
          <w:lang w:val="en-US" w:eastAsia="zh-CN"/>
        </w:rPr>
        <w:t>的违约金，逾期超过15日，甲方有权单方解除合同。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ahoma"/>
          <w:sz w:val="28"/>
          <w:szCs w:val="28"/>
          <w:lang w:val="en-US" w:eastAsia="zh-CN"/>
        </w:rPr>
      </w:pPr>
      <w:r>
        <w:rPr>
          <w:rFonts w:hint="eastAsia" w:ascii="宋体" w:hAnsi="宋体" w:eastAsia="宋体" w:cs="Tahoma"/>
          <w:sz w:val="28"/>
          <w:szCs w:val="28"/>
          <w:lang w:val="en-US" w:eastAsia="zh-CN"/>
        </w:rPr>
        <w:t>4、其它违约责任按《中华人民共和国民法典》处理。</w:t>
      </w:r>
    </w:p>
    <w:p>
      <w:pPr>
        <w:tabs>
          <w:tab w:val="left" w:pos="900"/>
        </w:tabs>
        <w:spacing w:line="540" w:lineRule="exact"/>
        <w:rPr>
          <w:rFonts w:hint="eastAsia" w:ascii="宋体" w:hAnsi="宋体" w:eastAsia="宋体"/>
          <w:b/>
          <w:sz w:val="28"/>
          <w:szCs w:val="28"/>
        </w:rPr>
      </w:pPr>
      <w:r>
        <w:rPr>
          <w:rFonts w:hint="eastAsia" w:ascii="宋体" w:hAnsi="宋体"/>
          <w:b/>
          <w:sz w:val="28"/>
          <w:szCs w:val="28"/>
          <w:lang w:eastAsia="zh-CN"/>
        </w:rPr>
        <w:t>九</w:t>
      </w:r>
      <w:r>
        <w:rPr>
          <w:rFonts w:hint="eastAsia" w:ascii="宋体" w:hAnsi="宋体" w:eastAsia="宋体"/>
          <w:b/>
          <w:sz w:val="28"/>
          <w:szCs w:val="28"/>
        </w:rPr>
        <w:t>、保密义务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ahoma"/>
          <w:sz w:val="28"/>
          <w:szCs w:val="28"/>
          <w:lang w:val="en-US" w:eastAsia="zh-CN"/>
        </w:rPr>
      </w:pPr>
      <w:r>
        <w:rPr>
          <w:rFonts w:hint="eastAsia" w:ascii="宋体" w:hAnsi="宋体" w:eastAsia="宋体" w:cs="Tahoma"/>
          <w:sz w:val="28"/>
          <w:szCs w:val="28"/>
          <w:lang w:val="en-US" w:eastAsia="zh-CN"/>
        </w:rPr>
        <w:t>双方同意，在任何时候，不论是合同有效期内还是合同终止后，对另一方的秘密信息实行严格保密，此义务不随合同终止而终止。双方确认，秘密信息包括但不限于：甲方的医疗数据、诊疗记录、个人信息、医院内部管理信息</w:t>
      </w:r>
      <w:r>
        <w:rPr>
          <w:rFonts w:hint="eastAsia" w:ascii="宋体" w:hAnsi="宋体" w:cs="Tahoma"/>
          <w:sz w:val="28"/>
          <w:szCs w:val="28"/>
          <w:lang w:val="en-US" w:eastAsia="zh-CN"/>
        </w:rPr>
        <w:t>及</w:t>
      </w:r>
      <w:r>
        <w:rPr>
          <w:rFonts w:hint="eastAsia" w:ascii="宋体" w:hAnsi="宋体" w:eastAsia="宋体" w:cs="Tahoma"/>
          <w:sz w:val="28"/>
          <w:szCs w:val="28"/>
          <w:lang w:val="en-US" w:eastAsia="zh-CN"/>
        </w:rPr>
        <w:t>项目相关技术文档</w:t>
      </w:r>
      <w:r>
        <w:rPr>
          <w:rFonts w:hint="eastAsia" w:ascii="宋体" w:hAnsi="宋体" w:cs="Tahoma"/>
          <w:sz w:val="28"/>
          <w:szCs w:val="28"/>
          <w:lang w:val="en-US" w:eastAsia="zh-CN"/>
        </w:rPr>
        <w:t>等</w:t>
      </w:r>
      <w:r>
        <w:rPr>
          <w:rFonts w:hint="eastAsia" w:ascii="宋体" w:hAnsi="宋体" w:eastAsia="宋体" w:cs="Tahoma"/>
          <w:sz w:val="28"/>
          <w:szCs w:val="28"/>
          <w:lang w:val="en-US" w:eastAsia="zh-CN"/>
        </w:rPr>
        <w:t>；乙方的</w:t>
      </w:r>
      <w:r>
        <w:rPr>
          <w:rFonts w:hint="eastAsia" w:ascii="宋体" w:hAnsi="宋体" w:cs="Tahoma"/>
          <w:sz w:val="28"/>
          <w:szCs w:val="28"/>
          <w:lang w:val="en-US" w:eastAsia="zh-CN"/>
        </w:rPr>
        <w:t>商业秘密、</w:t>
      </w:r>
      <w:r>
        <w:rPr>
          <w:rFonts w:hint="eastAsia" w:ascii="宋体" w:hAnsi="宋体" w:eastAsia="宋体" w:cs="Tahoma"/>
          <w:sz w:val="28"/>
          <w:szCs w:val="28"/>
          <w:lang w:val="en-US" w:eastAsia="zh-CN"/>
        </w:rPr>
        <w:t>技术方案、服务流程</w:t>
      </w:r>
      <w:r>
        <w:rPr>
          <w:rFonts w:hint="eastAsia" w:ascii="宋体" w:hAnsi="宋体" w:cs="Tahoma"/>
          <w:sz w:val="28"/>
          <w:szCs w:val="28"/>
          <w:lang w:val="en-US" w:eastAsia="zh-CN"/>
        </w:rPr>
        <w:t>及</w:t>
      </w:r>
      <w:r>
        <w:rPr>
          <w:rFonts w:hint="eastAsia" w:ascii="宋体" w:hAnsi="宋体" w:eastAsia="宋体" w:cs="Tahoma"/>
          <w:sz w:val="28"/>
          <w:szCs w:val="28"/>
          <w:lang w:val="en-US" w:eastAsia="zh-CN"/>
        </w:rPr>
        <w:t>报价信息等。</w:t>
      </w:r>
    </w:p>
    <w:p>
      <w:pPr>
        <w:tabs>
          <w:tab w:val="left" w:pos="900"/>
        </w:tabs>
        <w:spacing w:line="540" w:lineRule="exact"/>
        <w:rPr>
          <w:rFonts w:hint="eastAsia" w:ascii="宋体" w:hAnsi="宋体" w:eastAsia="宋体"/>
          <w:b/>
          <w:sz w:val="28"/>
          <w:szCs w:val="28"/>
        </w:rPr>
      </w:pPr>
      <w:r>
        <w:rPr>
          <w:rFonts w:hint="eastAsia" w:ascii="宋体" w:hAnsi="宋体"/>
          <w:b/>
          <w:sz w:val="28"/>
          <w:szCs w:val="28"/>
          <w:lang w:eastAsia="zh-CN"/>
        </w:rPr>
        <w:t>十</w:t>
      </w:r>
      <w:r>
        <w:rPr>
          <w:rFonts w:hint="eastAsia" w:ascii="宋体" w:hAnsi="宋体" w:eastAsia="宋体"/>
          <w:b/>
          <w:sz w:val="28"/>
          <w:szCs w:val="28"/>
        </w:rPr>
        <w:t>、争议解决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ahoma"/>
          <w:sz w:val="28"/>
          <w:szCs w:val="28"/>
          <w:lang w:val="en-US" w:eastAsia="zh-CN"/>
        </w:rPr>
      </w:pPr>
      <w:r>
        <w:rPr>
          <w:rFonts w:hint="eastAsia" w:ascii="宋体" w:hAnsi="宋体" w:eastAsia="宋体" w:cs="Tahoma"/>
          <w:sz w:val="28"/>
          <w:szCs w:val="28"/>
          <w:lang w:val="en-US" w:eastAsia="zh-CN"/>
        </w:rPr>
        <w:t>双方对本合同产生争议的，应当协商解决，协商不成的，任意一方均有权向甲方所在地人民法院提起诉讼。</w:t>
      </w:r>
    </w:p>
    <w:p>
      <w:pPr>
        <w:spacing w:line="540" w:lineRule="exact"/>
        <w:rPr>
          <w:rFonts w:hint="eastAsia" w:ascii="宋体" w:hAnsi="宋体" w:eastAsia="宋体"/>
          <w:sz w:val="28"/>
          <w:szCs w:val="28"/>
        </w:rPr>
      </w:pPr>
      <w:r>
        <w:rPr>
          <w:rFonts w:hint="eastAsia" w:ascii="宋体" w:hAnsi="宋体" w:eastAsia="宋体"/>
          <w:b/>
          <w:sz w:val="28"/>
          <w:szCs w:val="28"/>
        </w:rPr>
        <w:t>十</w:t>
      </w:r>
      <w:r>
        <w:rPr>
          <w:rFonts w:hint="eastAsia" w:ascii="宋体" w:hAnsi="宋体"/>
          <w:b/>
          <w:sz w:val="28"/>
          <w:szCs w:val="28"/>
          <w:lang w:eastAsia="zh-CN"/>
        </w:rPr>
        <w:t>一</w:t>
      </w:r>
      <w:r>
        <w:rPr>
          <w:rFonts w:hint="eastAsia" w:ascii="宋体" w:hAnsi="宋体" w:eastAsia="宋体"/>
          <w:b/>
          <w:sz w:val="28"/>
          <w:szCs w:val="28"/>
        </w:rPr>
        <w:t>、合同生效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Tahoma"/>
          <w:sz w:val="28"/>
          <w:szCs w:val="28"/>
          <w:lang w:val="en-US" w:eastAsia="zh-CN"/>
        </w:rPr>
      </w:pPr>
      <w:r>
        <w:rPr>
          <w:rFonts w:hint="eastAsia" w:ascii="宋体" w:hAnsi="宋体" w:eastAsia="宋体" w:cs="Tahoma"/>
          <w:sz w:val="28"/>
          <w:szCs w:val="28"/>
          <w:lang w:val="en-US" w:eastAsia="zh-CN"/>
        </w:rPr>
        <w:t>1、本</w:t>
      </w:r>
      <w:r>
        <w:rPr>
          <w:rFonts w:hint="eastAsia" w:ascii="宋体" w:hAnsi="宋体" w:cs="Tahoma"/>
          <w:sz w:val="28"/>
          <w:szCs w:val="28"/>
          <w:lang w:val="en-US" w:eastAsia="zh-CN"/>
        </w:rPr>
        <w:t>项目的合同、招标文件及</w:t>
      </w:r>
      <w:r>
        <w:rPr>
          <w:rFonts w:hint="eastAsia" w:ascii="宋体" w:hAnsi="宋体" w:eastAsia="宋体" w:cs="Tahoma"/>
          <w:sz w:val="28"/>
          <w:szCs w:val="28"/>
          <w:lang w:val="en-US" w:eastAsia="zh-CN"/>
        </w:rPr>
        <w:t>附件</w:t>
      </w:r>
      <w:r>
        <w:rPr>
          <w:rFonts w:hint="eastAsia" w:ascii="宋体" w:hAnsi="宋体" w:cs="Tahoma"/>
          <w:sz w:val="28"/>
          <w:szCs w:val="28"/>
          <w:lang w:val="en-US" w:eastAsia="zh-CN"/>
        </w:rPr>
        <w:t>内容均</w:t>
      </w:r>
      <w:r>
        <w:rPr>
          <w:rFonts w:hint="eastAsia" w:ascii="宋体" w:hAnsi="宋体" w:eastAsia="宋体" w:cs="Tahoma"/>
          <w:sz w:val="28"/>
          <w:szCs w:val="28"/>
          <w:lang w:val="en-US" w:eastAsia="zh-CN"/>
        </w:rPr>
        <w:t>是本合同的重要组成部分，与本合同具有同等法律效力。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ahoma"/>
          <w:sz w:val="28"/>
          <w:szCs w:val="28"/>
          <w:lang w:val="en-US" w:eastAsia="zh-CN"/>
        </w:rPr>
      </w:pPr>
      <w:r>
        <w:rPr>
          <w:rFonts w:hint="eastAsia" w:ascii="宋体" w:hAnsi="宋体" w:eastAsia="宋体" w:cs="Tahoma"/>
          <w:sz w:val="28"/>
          <w:szCs w:val="28"/>
          <w:lang w:val="en-US" w:eastAsia="zh-CN"/>
        </w:rPr>
        <w:t>2、本合同经甲乙双方法人代表或其授权代表签字盖章后生效。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ahoma"/>
          <w:sz w:val="28"/>
          <w:szCs w:val="28"/>
          <w:lang w:val="en-US" w:eastAsia="zh-CN"/>
        </w:rPr>
      </w:pPr>
      <w:r>
        <w:rPr>
          <w:rFonts w:hint="eastAsia" w:ascii="宋体" w:hAnsi="宋体" w:eastAsia="宋体" w:cs="Tahoma"/>
          <w:sz w:val="28"/>
          <w:szCs w:val="28"/>
          <w:lang w:val="en-US" w:eastAsia="zh-CN"/>
        </w:rPr>
        <w:t>3、本合同一式陆份，甲方执伍份，乙方执壹份，具有同等法律效力。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Tahoma"/>
          <w:sz w:val="28"/>
          <w:szCs w:val="28"/>
          <w:lang w:val="en-US" w:eastAsia="zh-CN"/>
        </w:rPr>
      </w:pPr>
      <w:r>
        <w:rPr>
          <w:rFonts w:hint="eastAsia" w:ascii="宋体" w:hAnsi="宋体" w:eastAsia="宋体" w:cs="Tahoma"/>
          <w:sz w:val="28"/>
          <w:szCs w:val="28"/>
          <w:lang w:val="en-US" w:eastAsia="zh-CN"/>
        </w:rPr>
        <w:t>（以下无正文）</w:t>
      </w:r>
    </w:p>
    <w:p>
      <w:pPr>
        <w:spacing w:line="240" w:lineRule="auto"/>
        <w:ind w:left="0" w:firstLine="0" w:firstLineChars="0"/>
        <w:rPr>
          <w:rFonts w:hint="eastAsia" w:ascii="宋体" w:hAnsi="宋体" w:eastAsia="宋体"/>
          <w:b/>
          <w:bCs/>
          <w:sz w:val="28"/>
          <w:szCs w:val="28"/>
        </w:rPr>
      </w:pPr>
      <w:r>
        <w:rPr>
          <w:rFonts w:hint="eastAsia" w:ascii="宋体" w:hAnsi="宋体" w:eastAsia="宋体"/>
          <w:b/>
          <w:bCs/>
          <w:sz w:val="28"/>
          <w:szCs w:val="28"/>
        </w:rPr>
        <w:br w:type="page"/>
      </w:r>
    </w:p>
    <w:p>
      <w:pPr>
        <w:spacing w:line="60" w:lineRule="auto"/>
        <w:ind w:left="7308" w:hanging="7308" w:hangingChars="2600"/>
        <w:rPr>
          <w:rFonts w:hint="eastAsia" w:ascii="宋体" w:hAnsi="宋体" w:eastAsia="宋体"/>
          <w:b/>
          <w:bCs/>
          <w:sz w:val="28"/>
          <w:szCs w:val="28"/>
        </w:rPr>
      </w:pPr>
      <w:r>
        <w:rPr>
          <w:rFonts w:hint="eastAsia" w:ascii="宋体" w:hAnsi="宋体" w:eastAsia="宋体"/>
          <w:b/>
          <w:bCs/>
          <w:sz w:val="28"/>
          <w:szCs w:val="28"/>
        </w:rPr>
        <w:t>甲方（盖章）：</w:t>
      </w:r>
      <w:r>
        <w:rPr>
          <w:rFonts w:hint="eastAsia" w:ascii="宋体" w:hAnsi="宋体" w:eastAsia="宋体"/>
          <w:b/>
          <w:bCs/>
          <w:sz w:val="28"/>
          <w:szCs w:val="28"/>
          <w:lang w:val="en-US" w:eastAsia="zh-CN"/>
        </w:rPr>
        <w:t>广东省第一荣军优抚医院</w:t>
      </w:r>
      <w:r>
        <w:rPr>
          <w:rFonts w:hint="eastAsia" w:ascii="宋体" w:hAnsi="宋体" w:eastAsia="宋体"/>
          <w:b/>
          <w:bCs/>
          <w:sz w:val="28"/>
          <w:szCs w:val="28"/>
        </w:rPr>
        <w:t xml:space="preserve">  乙方（盖章）：</w:t>
      </w:r>
      <w:r>
        <w:rPr>
          <w:rFonts w:hint="eastAsia" w:ascii="宋体" w:hAnsi="宋体"/>
          <w:b/>
          <w:bCs/>
          <w:sz w:val="28"/>
          <w:szCs w:val="28"/>
          <w:lang w:val="en-US" w:eastAsia="zh-CN"/>
        </w:rPr>
        <w:t>XX</w:t>
      </w:r>
      <w:r>
        <w:rPr>
          <w:rFonts w:hint="eastAsia" w:ascii="宋体" w:hAnsi="宋体" w:eastAsia="宋体"/>
          <w:b/>
          <w:bCs/>
          <w:sz w:val="28"/>
          <w:szCs w:val="28"/>
        </w:rPr>
        <w:t>公司</w:t>
      </w:r>
    </w:p>
    <w:p>
      <w:pPr>
        <w:spacing w:line="60" w:lineRule="auto"/>
        <w:rPr>
          <w:rFonts w:hint="eastAsia" w:ascii="宋体" w:hAnsi="宋体" w:eastAsia="宋体"/>
          <w:b/>
          <w:bCs/>
          <w:sz w:val="28"/>
          <w:szCs w:val="28"/>
        </w:rPr>
      </w:pPr>
      <w:r>
        <w:rPr>
          <w:rFonts w:hint="eastAsia" w:ascii="宋体" w:hAnsi="宋体" w:eastAsia="宋体"/>
          <w:b/>
          <w:bCs/>
          <w:sz w:val="28"/>
          <w:szCs w:val="28"/>
        </w:rPr>
        <w:t>签约代表：                            签约代表：</w:t>
      </w:r>
    </w:p>
    <w:p>
      <w:pPr>
        <w:spacing w:line="360" w:lineRule="auto"/>
        <w:ind w:left="6465" w:hanging="6465" w:hangingChars="2300"/>
        <w:rPr>
          <w:rFonts w:hint="eastAsia" w:ascii="宋体" w:hAnsi="宋体" w:eastAsia="宋体"/>
          <w:b/>
          <w:bCs/>
          <w:sz w:val="28"/>
          <w:szCs w:val="28"/>
        </w:rPr>
      </w:pPr>
    </w:p>
    <w:p>
      <w:pPr>
        <w:spacing w:line="360" w:lineRule="auto"/>
        <w:ind w:left="6465" w:hanging="6465" w:hangingChars="2300"/>
        <w:rPr>
          <w:rFonts w:hint="eastAsia" w:ascii="宋体" w:hAnsi="宋体" w:eastAsia="宋体"/>
          <w:b/>
          <w:bCs/>
          <w:sz w:val="32"/>
          <w:szCs w:val="32"/>
        </w:rPr>
      </w:pPr>
      <w:r>
        <w:rPr>
          <w:rFonts w:hint="eastAsia" w:ascii="宋体" w:hAnsi="宋体" w:eastAsia="宋体"/>
          <w:b/>
          <w:bCs/>
          <w:sz w:val="28"/>
          <w:szCs w:val="28"/>
        </w:rPr>
        <w:t xml:space="preserve">地址：广州市海珠区新港西路114号      地址： </w:t>
      </w:r>
    </w:p>
    <w:p>
      <w:pPr>
        <w:spacing w:line="360" w:lineRule="exact"/>
        <w:rPr>
          <w:rFonts w:hint="default" w:ascii="宋体" w:hAnsi="宋体" w:eastAsia="宋体"/>
          <w:b/>
          <w:bCs/>
          <w:sz w:val="28"/>
          <w:szCs w:val="28"/>
          <w:lang w:val="en-US" w:eastAsia="zh-CN"/>
        </w:rPr>
      </w:pPr>
      <w:r>
        <w:rPr>
          <w:rFonts w:ascii="宋体" w:hAnsi="宋体" w:eastAsia="宋体"/>
          <w:b/>
          <w:bCs/>
          <w:sz w:val="28"/>
          <w:szCs w:val="28"/>
        </w:rPr>
        <w:t>电话</w:t>
      </w:r>
      <w:r>
        <w:rPr>
          <w:rFonts w:hint="eastAsia" w:ascii="宋体" w:hAnsi="宋体" w:eastAsia="宋体"/>
          <w:b/>
          <w:bCs/>
          <w:sz w:val="28"/>
          <w:szCs w:val="28"/>
        </w:rPr>
        <w:t>：020-84181396                    电话：</w:t>
      </w:r>
    </w:p>
    <w:p>
      <w:pPr>
        <w:spacing w:line="360" w:lineRule="exact"/>
        <w:rPr>
          <w:rFonts w:hint="default" w:ascii="宋体" w:hAnsi="宋体" w:eastAsia="宋体"/>
          <w:b/>
          <w:bCs/>
          <w:sz w:val="28"/>
          <w:szCs w:val="28"/>
          <w:lang w:val="en-US"/>
        </w:rPr>
      </w:pPr>
      <w:r>
        <w:rPr>
          <w:rFonts w:hint="eastAsia" w:ascii="宋体" w:hAnsi="宋体"/>
          <w:b/>
          <w:bCs/>
          <w:sz w:val="28"/>
          <w:szCs w:val="28"/>
          <w:lang w:val="en-US" w:eastAsia="zh-CN"/>
        </w:rPr>
        <w:t xml:space="preserve">开户银行：工商银行广州怡乐支行        </w:t>
      </w:r>
      <w:r>
        <w:rPr>
          <w:rFonts w:hint="eastAsia" w:ascii="宋体" w:hAnsi="宋体" w:eastAsia="宋体"/>
          <w:b/>
          <w:bCs/>
          <w:sz w:val="28"/>
          <w:szCs w:val="28"/>
        </w:rPr>
        <w:t>开户银行：</w:t>
      </w:r>
      <w:r>
        <w:rPr>
          <w:rFonts w:hint="eastAsia" w:ascii="宋体" w:hAnsi="宋体"/>
          <w:b/>
          <w:bCs/>
          <w:sz w:val="28"/>
          <w:szCs w:val="28"/>
          <w:lang w:val="en-US" w:eastAsia="zh-CN"/>
        </w:rPr>
        <w:br w:type="textWrapping"/>
      </w:r>
      <w:r>
        <w:rPr>
          <w:rFonts w:hint="eastAsia" w:ascii="宋体" w:hAnsi="宋体"/>
          <w:b/>
          <w:bCs/>
          <w:sz w:val="28"/>
          <w:szCs w:val="28"/>
          <w:lang w:val="en-US" w:eastAsia="zh-CN"/>
        </w:rPr>
        <w:t>开户账号：3602000309000415320         开户账号：</w:t>
      </w:r>
      <w:r>
        <w:rPr>
          <w:rFonts w:hint="eastAsia" w:ascii="宋体" w:hAnsi="宋体"/>
          <w:b/>
          <w:bCs/>
          <w:sz w:val="28"/>
          <w:szCs w:val="28"/>
          <w:lang w:val="en-US" w:eastAsia="zh-CN"/>
        </w:rPr>
        <w:br w:type="textWrapping"/>
      </w:r>
      <w:r>
        <w:rPr>
          <w:rFonts w:hint="eastAsia" w:ascii="宋体" w:hAnsi="宋体"/>
          <w:b/>
          <w:bCs/>
          <w:sz w:val="28"/>
          <w:szCs w:val="28"/>
          <w:lang w:val="en-US" w:eastAsia="zh-CN"/>
        </w:rPr>
        <w:t>行号：102581004092                    行号：</w:t>
      </w:r>
    </w:p>
    <w:p>
      <w:pPr>
        <w:spacing w:line="360" w:lineRule="exact"/>
        <w:rPr>
          <w:rFonts w:ascii="宋体" w:hAnsi="宋体" w:eastAsia="宋体"/>
          <w:b/>
          <w:bCs/>
          <w:sz w:val="28"/>
          <w:szCs w:val="28"/>
        </w:rPr>
      </w:pPr>
      <w:r>
        <w:rPr>
          <w:rFonts w:hint="eastAsia" w:ascii="宋体" w:hAnsi="宋体" w:eastAsia="宋体"/>
          <w:b/>
          <w:bCs/>
          <w:sz w:val="28"/>
          <w:szCs w:val="28"/>
        </w:rPr>
        <w:t>签订日期：</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年</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月</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 xml:space="preserve">日       </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 xml:space="preserve">  </w:t>
      </w:r>
      <w:r>
        <w:rPr>
          <w:rFonts w:hint="eastAsia" w:ascii="宋体" w:hAnsi="宋体"/>
          <w:b/>
          <w:bCs/>
          <w:sz w:val="28"/>
          <w:szCs w:val="28"/>
          <w:lang w:val="en-US" w:eastAsia="zh-CN"/>
        </w:rPr>
        <w:t xml:space="preserve"> </w:t>
      </w:r>
      <w:r>
        <w:rPr>
          <w:rFonts w:hint="eastAsia" w:ascii="宋体" w:hAnsi="宋体" w:eastAsia="宋体"/>
          <w:b/>
          <w:bCs/>
          <w:sz w:val="28"/>
          <w:szCs w:val="28"/>
        </w:rPr>
        <w:t>签订日期：</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年</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 xml:space="preserve"> 月</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日</w:t>
      </w:r>
    </w:p>
    <w:p>
      <w:pPr>
        <w:jc w:val="left"/>
        <w:rPr>
          <w:rFonts w:hint="eastAsia"/>
          <w:sz w:val="22"/>
          <w:szCs w:val="22"/>
        </w:rPr>
      </w:pPr>
    </w:p>
    <w:p>
      <w:pPr>
        <w:jc w:val="left"/>
        <w:rPr>
          <w:rFonts w:hint="eastAsia"/>
          <w:sz w:val="22"/>
          <w:szCs w:val="22"/>
        </w:rPr>
      </w:pPr>
    </w:p>
    <w:p>
      <w:pPr>
        <w:jc w:val="left"/>
        <w:rPr>
          <w:rFonts w:hint="eastAsia"/>
          <w:sz w:val="22"/>
          <w:szCs w:val="22"/>
        </w:rPr>
      </w:pPr>
      <w:r>
        <w:rPr>
          <w:rFonts w:hint="eastAsia"/>
          <w:sz w:val="22"/>
          <w:szCs w:val="22"/>
        </w:rPr>
        <w:br w:type="page"/>
      </w:r>
    </w:p>
    <w:p>
      <w:pPr>
        <w:jc w:val="left"/>
        <w:rPr>
          <w:sz w:val="22"/>
          <w:szCs w:val="22"/>
        </w:rPr>
      </w:pPr>
      <w:r>
        <w:rPr>
          <w:rFonts w:hint="eastAsia"/>
          <w:sz w:val="22"/>
          <w:szCs w:val="22"/>
        </w:rPr>
        <w:t>附件一：服务内容清单</w:t>
      </w:r>
    </w:p>
    <w:tbl>
      <w:tblPr>
        <w:tblStyle w:val="7"/>
        <w:tblpPr w:leftFromText="180" w:rightFromText="180" w:vertAnchor="text" w:horzAnchor="page" w:tblpX="1117" w:tblpY="287"/>
        <w:tblOverlap w:val="never"/>
        <w:tblW w:w="5000" w:type="pct"/>
        <w:tblInd w:w="0" w:type="dxa"/>
        <w:tblLayout w:type="autofit"/>
        <w:tblCellMar>
          <w:top w:w="0" w:type="dxa"/>
          <w:left w:w="108" w:type="dxa"/>
          <w:bottom w:w="0" w:type="dxa"/>
          <w:right w:w="108" w:type="dxa"/>
        </w:tblCellMar>
      </w:tblPr>
      <w:tblGrid>
        <w:gridCol w:w="437"/>
        <w:gridCol w:w="820"/>
        <w:gridCol w:w="5035"/>
        <w:gridCol w:w="947"/>
        <w:gridCol w:w="1283"/>
      </w:tblGrid>
      <w:tr>
        <w:tblPrEx>
          <w:tblCellMar>
            <w:top w:w="0" w:type="dxa"/>
            <w:left w:w="108" w:type="dxa"/>
            <w:bottom w:w="0" w:type="dxa"/>
            <w:right w:w="108" w:type="dxa"/>
          </w:tblCellMar>
        </w:tblPrEx>
        <w:trPr>
          <w:cantSplit/>
          <w:trHeight w:val="981" w:hRule="atLeast"/>
        </w:trPr>
        <w:tc>
          <w:tcPr>
            <w:tcW w:w="238" w:type="pct"/>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序号</w:t>
            </w:r>
          </w:p>
        </w:tc>
        <w:tc>
          <w:tcPr>
            <w:tcW w:w="486" w:type="pct"/>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服务名称</w:t>
            </w:r>
          </w:p>
        </w:tc>
        <w:tc>
          <w:tcPr>
            <w:tcW w:w="2958" w:type="pct"/>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服务内容</w:t>
            </w:r>
          </w:p>
        </w:tc>
        <w:tc>
          <w:tcPr>
            <w:tcW w:w="560" w:type="pct"/>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宋体" w:cs="Times New Roman"/>
                <w:b/>
                <w:bCs/>
                <w:kern w:val="0"/>
                <w:sz w:val="22"/>
                <w:szCs w:val="22"/>
                <w:lang w:val="en-US" w:eastAsia="zh-CN"/>
              </w:rPr>
            </w:pPr>
            <w:r>
              <w:rPr>
                <w:rFonts w:hint="eastAsia" w:ascii="Times New Roman" w:hAnsi="Times New Roman" w:eastAsia="宋体" w:cs="Times New Roman"/>
                <w:b/>
                <w:bCs/>
                <w:kern w:val="0"/>
                <w:sz w:val="22"/>
                <w:szCs w:val="22"/>
                <w:lang w:val="en-US" w:eastAsia="zh-CN"/>
              </w:rPr>
              <w:t>服务频率</w:t>
            </w:r>
          </w:p>
        </w:tc>
        <w:tc>
          <w:tcPr>
            <w:tcW w:w="757" w:type="pct"/>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宋体" w:cs="Times New Roman"/>
                <w:b/>
                <w:bCs/>
                <w:kern w:val="0"/>
                <w:sz w:val="22"/>
                <w:szCs w:val="22"/>
                <w:lang w:eastAsia="zh-CN"/>
              </w:rPr>
            </w:pPr>
            <w:r>
              <w:rPr>
                <w:rFonts w:hint="default" w:ascii="Times New Roman" w:hAnsi="Times New Roman" w:eastAsia="宋体" w:cs="Times New Roman"/>
                <w:b/>
                <w:bCs/>
                <w:kern w:val="0"/>
                <w:sz w:val="22"/>
                <w:szCs w:val="22"/>
                <w:lang w:eastAsia="zh-CN"/>
              </w:rPr>
              <w:t>交付文档</w:t>
            </w:r>
          </w:p>
        </w:tc>
      </w:tr>
      <w:tr>
        <w:tblPrEx>
          <w:tblCellMar>
            <w:top w:w="0" w:type="dxa"/>
            <w:left w:w="108" w:type="dxa"/>
            <w:bottom w:w="0" w:type="dxa"/>
            <w:right w:w="108" w:type="dxa"/>
          </w:tblCellMar>
        </w:tblPrEx>
        <w:trPr>
          <w:cantSplit/>
          <w:trHeight w:val="58" w:hRule="atLeast"/>
        </w:trPr>
        <w:tc>
          <w:tcPr>
            <w:tcW w:w="238"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w:t>
            </w:r>
          </w:p>
        </w:tc>
        <w:tc>
          <w:tcPr>
            <w:tcW w:w="48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安全服务驻点服务</w:t>
            </w:r>
          </w:p>
        </w:tc>
        <w:tc>
          <w:tcPr>
            <w:tcW w:w="295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1.要求1名网络安全工程师每周提供不少于3天现场服务，服从信息科关于网络安全工作安排；</w:t>
            </w:r>
            <w:r>
              <w:rPr>
                <w:rFonts w:hint="default" w:ascii="Times New Roman" w:hAnsi="Times New Roman" w:eastAsia="宋体" w:cs="Times New Roman"/>
                <w:sz w:val="22"/>
                <w:szCs w:val="22"/>
                <w:lang w:val="en-US" w:eastAsia="zh-CN"/>
              </w:rPr>
              <w:br w:type="textWrapping"/>
            </w:r>
            <w:r>
              <w:rPr>
                <w:rFonts w:hint="default" w:ascii="Times New Roman" w:hAnsi="Times New Roman" w:eastAsia="宋体" w:cs="Times New Roman"/>
                <w:sz w:val="22"/>
                <w:szCs w:val="22"/>
                <w:lang w:val="en-US" w:eastAsia="zh-CN"/>
              </w:rPr>
              <w:t>2.有较强的分析和解决问题能力、沟通能力和文档编写能力，良好的工作态度，职业道德，团队合作意识；</w:t>
            </w:r>
            <w:r>
              <w:rPr>
                <w:rFonts w:hint="default" w:ascii="Times New Roman" w:hAnsi="Times New Roman" w:eastAsia="宋体" w:cs="Times New Roman"/>
                <w:sz w:val="22"/>
                <w:szCs w:val="22"/>
                <w:lang w:val="en-US" w:eastAsia="zh-CN"/>
              </w:rPr>
              <w:br w:type="textWrapping"/>
            </w:r>
            <w:r>
              <w:rPr>
                <w:rFonts w:hint="default" w:ascii="Times New Roman" w:hAnsi="Times New Roman" w:eastAsia="宋体" w:cs="Times New Roman"/>
                <w:sz w:val="22"/>
                <w:szCs w:val="22"/>
                <w:lang w:val="en-US" w:eastAsia="zh-CN"/>
              </w:rPr>
              <w:t>3.协助建立网络与信息安全资产台账收集与管理；</w:t>
            </w:r>
            <w:r>
              <w:rPr>
                <w:rFonts w:hint="default" w:ascii="Times New Roman" w:hAnsi="Times New Roman" w:eastAsia="宋体" w:cs="Times New Roman"/>
                <w:sz w:val="22"/>
                <w:szCs w:val="22"/>
                <w:lang w:val="en-US" w:eastAsia="zh-CN"/>
              </w:rPr>
              <w:br w:type="textWrapping"/>
            </w:r>
            <w:r>
              <w:rPr>
                <w:rFonts w:hint="default" w:ascii="Times New Roman" w:hAnsi="Times New Roman" w:eastAsia="宋体" w:cs="Times New Roman"/>
                <w:sz w:val="22"/>
                <w:szCs w:val="22"/>
                <w:lang w:val="en-US" w:eastAsia="zh-CN"/>
              </w:rPr>
              <w:t>4.配合规划与设计网络安全策略及管理体系，并持续优化和完善；</w:t>
            </w:r>
            <w:r>
              <w:rPr>
                <w:rFonts w:hint="default" w:ascii="Times New Roman" w:hAnsi="Times New Roman" w:eastAsia="宋体" w:cs="Times New Roman"/>
                <w:sz w:val="22"/>
                <w:szCs w:val="22"/>
                <w:lang w:val="en-US" w:eastAsia="zh-CN"/>
              </w:rPr>
              <w:br w:type="textWrapping"/>
            </w:r>
            <w:r>
              <w:rPr>
                <w:rFonts w:hint="default" w:ascii="Times New Roman" w:hAnsi="Times New Roman" w:eastAsia="宋体" w:cs="Times New Roman"/>
                <w:sz w:val="22"/>
                <w:szCs w:val="22"/>
                <w:lang w:val="en-US" w:eastAsia="zh-CN"/>
              </w:rPr>
              <w:t>5.负责网络安全环境及设备的管理、配置、监控、排错、维护，解决网络安全问题；</w:t>
            </w:r>
            <w:r>
              <w:rPr>
                <w:rFonts w:hint="default" w:ascii="Times New Roman" w:hAnsi="Times New Roman" w:eastAsia="宋体" w:cs="Times New Roman"/>
                <w:sz w:val="22"/>
                <w:szCs w:val="22"/>
                <w:lang w:val="en-US" w:eastAsia="zh-CN"/>
              </w:rPr>
              <w:br w:type="textWrapping"/>
            </w:r>
            <w:r>
              <w:rPr>
                <w:rFonts w:hint="default" w:ascii="Times New Roman" w:hAnsi="Times New Roman" w:eastAsia="宋体" w:cs="Times New Roman"/>
                <w:sz w:val="22"/>
                <w:szCs w:val="22"/>
                <w:lang w:val="en-US" w:eastAsia="zh-CN"/>
              </w:rPr>
              <w:t>6.负责提交运维服务报告，应急响应报告，分析与处置报告，以及安全相关汇报材料；</w:t>
            </w:r>
            <w:r>
              <w:rPr>
                <w:rFonts w:hint="default" w:ascii="Times New Roman" w:hAnsi="Times New Roman" w:eastAsia="宋体" w:cs="Times New Roman"/>
                <w:sz w:val="22"/>
                <w:szCs w:val="22"/>
                <w:lang w:val="en-US" w:eastAsia="zh-CN"/>
              </w:rPr>
              <w:br w:type="textWrapping"/>
            </w:r>
            <w:r>
              <w:rPr>
                <w:rFonts w:hint="default" w:ascii="Times New Roman" w:hAnsi="Times New Roman" w:eastAsia="宋体" w:cs="Times New Roman"/>
                <w:sz w:val="22"/>
                <w:szCs w:val="22"/>
                <w:lang w:val="en-US" w:eastAsia="zh-CN"/>
              </w:rPr>
              <w:t>7.协助等保测评问题整改与安全加固；</w:t>
            </w:r>
            <w:r>
              <w:rPr>
                <w:rFonts w:hint="default" w:ascii="Times New Roman" w:hAnsi="Times New Roman" w:eastAsia="宋体" w:cs="Times New Roman"/>
                <w:sz w:val="22"/>
                <w:szCs w:val="22"/>
                <w:lang w:val="en-US" w:eastAsia="zh-CN"/>
              </w:rPr>
              <w:br w:type="textWrapping"/>
            </w:r>
            <w:r>
              <w:rPr>
                <w:rFonts w:hint="default" w:ascii="Times New Roman" w:hAnsi="Times New Roman" w:eastAsia="宋体" w:cs="Times New Roman"/>
                <w:sz w:val="22"/>
                <w:szCs w:val="22"/>
                <w:lang w:val="en-US" w:eastAsia="zh-CN"/>
              </w:rPr>
              <w:t>8.分析各业务系统的数据安全风险，并制定解决方案；</w:t>
            </w:r>
            <w:r>
              <w:rPr>
                <w:rFonts w:hint="default" w:ascii="Times New Roman" w:hAnsi="Times New Roman" w:eastAsia="宋体" w:cs="Times New Roman"/>
                <w:sz w:val="22"/>
                <w:szCs w:val="22"/>
                <w:lang w:val="en-US" w:eastAsia="zh-CN"/>
              </w:rPr>
              <w:br w:type="textWrapping"/>
            </w:r>
            <w:r>
              <w:rPr>
                <w:rFonts w:hint="default" w:ascii="Times New Roman" w:hAnsi="Times New Roman" w:eastAsia="宋体" w:cs="Times New Roman"/>
                <w:sz w:val="22"/>
                <w:szCs w:val="22"/>
                <w:lang w:val="en-US" w:eastAsia="zh-CN"/>
              </w:rPr>
              <w:t>9.负责定期网络安全宣传及培训；</w:t>
            </w:r>
            <w:r>
              <w:rPr>
                <w:rFonts w:hint="default" w:ascii="Times New Roman" w:hAnsi="Times New Roman" w:eastAsia="宋体" w:cs="Times New Roman"/>
                <w:sz w:val="22"/>
                <w:szCs w:val="22"/>
                <w:lang w:val="en-US" w:eastAsia="zh-CN"/>
              </w:rPr>
              <w:br w:type="textWrapping"/>
            </w:r>
            <w:r>
              <w:rPr>
                <w:rFonts w:hint="default" w:ascii="Times New Roman" w:hAnsi="Times New Roman" w:eastAsia="宋体" w:cs="Times New Roman"/>
                <w:sz w:val="22"/>
                <w:szCs w:val="22"/>
                <w:lang w:val="en-US" w:eastAsia="zh-CN"/>
              </w:rPr>
              <w:t>10.其他与网络安全相关的工作与活动；</w:t>
            </w:r>
          </w:p>
          <w:p>
            <w:pP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11.工程师须具备网络信息安全工程师或CISP资质。</w:t>
            </w:r>
          </w:p>
        </w:tc>
        <w:tc>
          <w:tcPr>
            <w:tcW w:w="56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每周提供不少于3天现场服务</w:t>
            </w:r>
          </w:p>
        </w:tc>
        <w:tc>
          <w:tcPr>
            <w:tcW w:w="75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《安全运维月报》</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《安全运维季度报》</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《安全运维年报》</w:t>
            </w:r>
          </w:p>
        </w:tc>
      </w:tr>
      <w:tr>
        <w:tblPrEx>
          <w:tblCellMar>
            <w:top w:w="0" w:type="dxa"/>
            <w:left w:w="108" w:type="dxa"/>
            <w:bottom w:w="0" w:type="dxa"/>
            <w:right w:w="108" w:type="dxa"/>
          </w:tblCellMar>
        </w:tblPrEx>
        <w:trPr>
          <w:cantSplit/>
          <w:trHeight w:val="90" w:hRule="atLeast"/>
        </w:trPr>
        <w:tc>
          <w:tcPr>
            <w:tcW w:w="238"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w:t>
            </w:r>
          </w:p>
        </w:tc>
        <w:tc>
          <w:tcPr>
            <w:tcW w:w="486" w:type="pct"/>
            <w:tcBorders>
              <w:top w:val="nil"/>
              <w:left w:val="nil"/>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网络安全检测和风险评估</w:t>
            </w:r>
          </w:p>
        </w:tc>
        <w:tc>
          <w:tcPr>
            <w:tcW w:w="2958" w:type="pct"/>
            <w:tcBorders>
              <w:top w:val="nil"/>
              <w:left w:val="nil"/>
              <w:bottom w:val="single" w:color="auto" w:sz="4" w:space="0"/>
              <w:right w:val="single" w:color="auto" w:sz="4" w:space="0"/>
            </w:tcBorders>
            <w:noWrap w:val="0"/>
            <w:vAlign w:val="top"/>
          </w:tcPr>
          <w:p>
            <w:pPr>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对医院的整体信息系统及网络架构进行安全评估，通过对安全的通信架构、安全的区域边界、安全的计算环境、安全的管理中心等多个安全域的检查，检查结束后，输出网络安全评估报告和整改方案。</w:t>
            </w:r>
          </w:p>
        </w:tc>
        <w:tc>
          <w:tcPr>
            <w:tcW w:w="560"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每年一次，进场服务即日起开展。</w:t>
            </w:r>
          </w:p>
        </w:tc>
        <w:tc>
          <w:tcPr>
            <w:tcW w:w="757" w:type="pct"/>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《网络安全评估报告》</w:t>
            </w:r>
            <w:r>
              <w:rPr>
                <w:rFonts w:hint="default" w:ascii="Times New Roman" w:hAnsi="Times New Roman" w:eastAsia="Segoe UI" w:cs="Times New Roman"/>
                <w:i w:val="0"/>
                <w:iCs w:val="0"/>
                <w:caps w:val="0"/>
                <w:color w:val="0F1115"/>
                <w:spacing w:val="0"/>
                <w:sz w:val="22"/>
                <w:szCs w:val="22"/>
                <w:shd w:val="clear" w:color="auto" w:fill="FFFFFF"/>
              </w:rPr>
              <w:t>《整改方案》</w:t>
            </w:r>
          </w:p>
        </w:tc>
      </w:tr>
      <w:tr>
        <w:tblPrEx>
          <w:tblCellMar>
            <w:top w:w="0" w:type="dxa"/>
            <w:left w:w="108" w:type="dxa"/>
            <w:bottom w:w="0" w:type="dxa"/>
            <w:right w:w="108" w:type="dxa"/>
          </w:tblCellMar>
        </w:tblPrEx>
        <w:trPr>
          <w:cantSplit/>
          <w:trHeight w:val="2550" w:hRule="atLeast"/>
        </w:trPr>
        <w:tc>
          <w:tcPr>
            <w:tcW w:w="238"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3</w:t>
            </w:r>
          </w:p>
        </w:tc>
        <w:tc>
          <w:tcPr>
            <w:tcW w:w="48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安全设备巡检服务</w:t>
            </w:r>
          </w:p>
        </w:tc>
        <w:tc>
          <w:tcPr>
            <w:tcW w:w="2958" w:type="pct"/>
            <w:tcBorders>
              <w:top w:val="nil"/>
              <w:left w:val="nil"/>
              <w:bottom w:val="single" w:color="auto" w:sz="4" w:space="0"/>
              <w:right w:val="single" w:color="auto" w:sz="4" w:space="0"/>
            </w:tcBorders>
            <w:noWrap w:val="0"/>
            <w:vAlign w:val="center"/>
          </w:tcPr>
          <w:p>
            <w:pPr>
              <w:rPr>
                <w:sz w:val="22"/>
                <w:szCs w:val="22"/>
              </w:rPr>
            </w:pPr>
            <w:r>
              <w:rPr>
                <w:rFonts w:hint="default" w:ascii="Times New Roman" w:hAnsi="Times New Roman" w:eastAsia="宋体" w:cs="Times New Roman"/>
                <w:sz w:val="22"/>
                <w:szCs w:val="22"/>
                <w:lang w:val="en-US" w:eastAsia="zh-CN"/>
              </w:rPr>
              <w:t>1.由工程师进行巡检服务，并对安全设备（防火墙、入侵防御系统（IPS）、Web应用防火墙（WAF）等设备进行分析，发现潜在的安全隐患，并提供安全巡检报告；</w:t>
            </w:r>
            <w:r>
              <w:rPr>
                <w:rFonts w:hint="default" w:ascii="Times New Roman" w:hAnsi="Times New Roman" w:eastAsia="宋体" w:cs="Times New Roman"/>
                <w:sz w:val="22"/>
                <w:szCs w:val="22"/>
                <w:lang w:val="en-US" w:eastAsia="zh-CN"/>
              </w:rPr>
              <w:br w:type="textWrapping"/>
            </w:r>
            <w:r>
              <w:rPr>
                <w:rFonts w:hint="default" w:ascii="Times New Roman" w:hAnsi="Times New Roman" w:eastAsia="宋体" w:cs="Times New Roman"/>
                <w:sz w:val="22"/>
                <w:szCs w:val="22"/>
                <w:lang w:val="en-US" w:eastAsia="zh-CN"/>
              </w:rPr>
              <w:t>2.按需主动分析失陷类的安全事件并协助用户处置。</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p>
        </w:tc>
        <w:tc>
          <w:tcPr>
            <w:tcW w:w="56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每季度一次，每季度第一周开展</w:t>
            </w:r>
          </w:p>
        </w:tc>
        <w:tc>
          <w:tcPr>
            <w:tcW w:w="75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《安全巡检报告》</w:t>
            </w:r>
          </w:p>
        </w:tc>
      </w:tr>
      <w:tr>
        <w:tblPrEx>
          <w:tblCellMar>
            <w:top w:w="0" w:type="dxa"/>
            <w:left w:w="108" w:type="dxa"/>
            <w:bottom w:w="0" w:type="dxa"/>
            <w:right w:w="108" w:type="dxa"/>
          </w:tblCellMar>
        </w:tblPrEx>
        <w:trPr>
          <w:cantSplit/>
          <w:trHeight w:val="3120" w:hRule="atLeast"/>
        </w:trPr>
        <w:tc>
          <w:tcPr>
            <w:tcW w:w="238"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4</w:t>
            </w:r>
          </w:p>
        </w:tc>
        <w:tc>
          <w:tcPr>
            <w:tcW w:w="48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安全合规建设服务</w:t>
            </w:r>
          </w:p>
        </w:tc>
        <w:tc>
          <w:tcPr>
            <w:tcW w:w="2958" w:type="pct"/>
            <w:tcBorders>
              <w:top w:val="nil"/>
              <w:left w:val="nil"/>
              <w:bottom w:val="single" w:color="auto" w:sz="4" w:space="0"/>
              <w:right w:val="single" w:color="auto" w:sz="4" w:space="0"/>
            </w:tcBorders>
            <w:noWrap w:val="0"/>
            <w:vAlign w:val="center"/>
          </w:tcPr>
          <w:p>
            <w:pPr>
              <w:rPr>
                <w:sz w:val="22"/>
                <w:szCs w:val="22"/>
              </w:rPr>
            </w:pPr>
            <w:r>
              <w:rPr>
                <w:rFonts w:hint="default" w:ascii="Times New Roman" w:hAnsi="Times New Roman" w:eastAsia="宋体" w:cs="Times New Roman"/>
                <w:sz w:val="22"/>
                <w:szCs w:val="22"/>
                <w:lang w:val="en-US" w:eastAsia="zh-CN"/>
              </w:rPr>
              <w:t>1.依据网络安全法及网络安全等级保护相关管理要求，结合医院实际业务情况查漏补缺，协助采购人制定与更新单位安全方针，建立网络安全策略框架；</w:t>
            </w:r>
            <w:r>
              <w:rPr>
                <w:rFonts w:hint="default" w:ascii="Times New Roman" w:hAnsi="Times New Roman" w:eastAsia="宋体" w:cs="Times New Roman"/>
                <w:sz w:val="22"/>
                <w:szCs w:val="22"/>
                <w:lang w:val="en-US" w:eastAsia="zh-CN"/>
              </w:rPr>
              <w:br w:type="textWrapping"/>
            </w:r>
            <w:r>
              <w:rPr>
                <w:rFonts w:hint="default" w:ascii="Times New Roman" w:hAnsi="Times New Roman" w:eastAsia="宋体" w:cs="Times New Roman"/>
                <w:sz w:val="22"/>
                <w:szCs w:val="22"/>
                <w:lang w:val="en-US" w:eastAsia="zh-CN"/>
              </w:rPr>
              <w:t>2.依据《信息系统安全等级保护测评准则》，配合完成年度等级保护测评现场检查、材料整理、差距分析、整改协助等工作。</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p>
        </w:tc>
        <w:tc>
          <w:tcPr>
            <w:tcW w:w="56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按需</w:t>
            </w:r>
          </w:p>
        </w:tc>
        <w:tc>
          <w:tcPr>
            <w:tcW w:w="75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安全合规建设相关文档、等保测评问题整改记录</w:t>
            </w:r>
          </w:p>
        </w:tc>
      </w:tr>
      <w:tr>
        <w:tblPrEx>
          <w:tblCellMar>
            <w:top w:w="0" w:type="dxa"/>
            <w:left w:w="108" w:type="dxa"/>
            <w:bottom w:w="0" w:type="dxa"/>
            <w:right w:w="108" w:type="dxa"/>
          </w:tblCellMar>
        </w:tblPrEx>
        <w:trPr>
          <w:cantSplit/>
          <w:trHeight w:val="58" w:hRule="atLeast"/>
        </w:trPr>
        <w:tc>
          <w:tcPr>
            <w:tcW w:w="238"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5</w:t>
            </w:r>
          </w:p>
        </w:tc>
        <w:tc>
          <w:tcPr>
            <w:tcW w:w="48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渗透测试</w:t>
            </w:r>
          </w:p>
        </w:tc>
        <w:tc>
          <w:tcPr>
            <w:tcW w:w="295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对院内重要业务系统进行渗透测试服务，渗透测试主要是模拟黑客的攻击方法，检测网站、网络协议、网络服务、网络设备、应用系统等各种信息资产所存在的安全隐患和漏洞。在实施渗透测试工作前，对渗透测试服务相关的技术细节进行详细沟通。由此确认渗透测试的方案，方案内容主要包括确认的渗透测试范围、最终对象、测试方式、测试要求的时间等内容。同时，签署渗透测试授权书，确保在授权情况下进行服务；</w:t>
            </w:r>
          </w:p>
          <w:p>
            <w:pPr>
              <w:rPr>
                <w:sz w:val="22"/>
                <w:szCs w:val="22"/>
              </w:rPr>
            </w:pPr>
            <w:r>
              <w:rPr>
                <w:rFonts w:hint="default" w:ascii="Times New Roman" w:hAnsi="Times New Roman" w:eastAsia="宋体" w:cs="Times New Roman"/>
                <w:sz w:val="22"/>
                <w:szCs w:val="22"/>
                <w:lang w:val="en-US" w:eastAsia="zh-CN"/>
              </w:rPr>
              <w:t>2.每年对HIS系统（含EMR、LIS及PACS）、医院门户网站、集成平台系统、互联网医院系统、OA系统、不良事件管理系统、院前急救一体化平台、医务管理系统、资产管理及效益分析系统及全程患者管理平台进行渗透测试，共10个系统，具体渗透测试的系统名单将在合同签订后由双方共同书面确认。如需调整，须经双方协商一致，并以书面形式确认调整后的系统名单。</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p>
        </w:tc>
        <w:tc>
          <w:tcPr>
            <w:tcW w:w="56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每年一次</w:t>
            </w:r>
          </w:p>
        </w:tc>
        <w:tc>
          <w:tcPr>
            <w:tcW w:w="75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《渗透测试报告》</w:t>
            </w:r>
          </w:p>
        </w:tc>
      </w:tr>
      <w:tr>
        <w:tblPrEx>
          <w:tblCellMar>
            <w:top w:w="0" w:type="dxa"/>
            <w:left w:w="108" w:type="dxa"/>
            <w:bottom w:w="0" w:type="dxa"/>
            <w:right w:w="108" w:type="dxa"/>
          </w:tblCellMar>
        </w:tblPrEx>
        <w:trPr>
          <w:cantSplit/>
          <w:trHeight w:val="2100" w:hRule="atLeast"/>
        </w:trPr>
        <w:tc>
          <w:tcPr>
            <w:tcW w:w="238"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6</w:t>
            </w:r>
          </w:p>
        </w:tc>
        <w:tc>
          <w:tcPr>
            <w:tcW w:w="48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漏洞扫描服务</w:t>
            </w:r>
          </w:p>
        </w:tc>
        <w:tc>
          <w:tcPr>
            <w:tcW w:w="2958" w:type="pct"/>
            <w:tcBorders>
              <w:top w:val="nil"/>
              <w:left w:val="nil"/>
              <w:bottom w:val="single" w:color="auto" w:sz="4" w:space="0"/>
              <w:right w:val="single" w:color="auto" w:sz="4" w:space="0"/>
            </w:tcBorders>
            <w:noWrap w:val="0"/>
            <w:vAlign w:val="center"/>
          </w:tcPr>
          <w:p>
            <w:pPr>
              <w:rPr>
                <w:sz w:val="22"/>
                <w:szCs w:val="22"/>
              </w:rPr>
            </w:pPr>
            <w:r>
              <w:rPr>
                <w:rFonts w:hint="default" w:ascii="Times New Roman" w:hAnsi="Times New Roman" w:eastAsia="宋体" w:cs="Times New Roman"/>
                <w:sz w:val="22"/>
                <w:szCs w:val="22"/>
                <w:lang w:val="en-US" w:eastAsia="zh-CN"/>
              </w:rPr>
              <w:t>利用专业的漏扫工具对网络层、系统层、数据库、应用层进行全面扫描，人工验证脆弱性问题，提供修复建议并协助修复。需签署漏洞扫描授权书，确保在授权情况下进行服务。</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p>
        </w:tc>
        <w:tc>
          <w:tcPr>
            <w:tcW w:w="56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每季度一次，每季度第一周开展</w:t>
            </w:r>
          </w:p>
        </w:tc>
        <w:tc>
          <w:tcPr>
            <w:tcW w:w="75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《漏洞风险评估报告》</w:t>
            </w:r>
          </w:p>
        </w:tc>
      </w:tr>
      <w:tr>
        <w:tblPrEx>
          <w:tblCellMar>
            <w:top w:w="0" w:type="dxa"/>
            <w:left w:w="108" w:type="dxa"/>
            <w:bottom w:w="0" w:type="dxa"/>
            <w:right w:w="108" w:type="dxa"/>
          </w:tblCellMar>
        </w:tblPrEx>
        <w:trPr>
          <w:cantSplit/>
          <w:trHeight w:val="2961" w:hRule="atLeast"/>
        </w:trPr>
        <w:tc>
          <w:tcPr>
            <w:tcW w:w="238"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7</w:t>
            </w:r>
          </w:p>
        </w:tc>
        <w:tc>
          <w:tcPr>
            <w:tcW w:w="48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加固服务</w:t>
            </w:r>
          </w:p>
        </w:tc>
        <w:tc>
          <w:tcPr>
            <w:tcW w:w="2958" w:type="pct"/>
            <w:tcBorders>
              <w:top w:val="nil"/>
              <w:left w:val="nil"/>
              <w:bottom w:val="single" w:color="auto" w:sz="4" w:space="0"/>
              <w:right w:val="single" w:color="auto" w:sz="4" w:space="0"/>
            </w:tcBorders>
            <w:noWrap w:val="0"/>
            <w:vAlign w:val="center"/>
          </w:tcPr>
          <w:p>
            <w:pPr>
              <w:rPr>
                <w:sz w:val="22"/>
                <w:szCs w:val="22"/>
              </w:rPr>
            </w:pPr>
            <w:r>
              <w:rPr>
                <w:rFonts w:hint="default" w:ascii="Times New Roman" w:hAnsi="Times New Roman" w:eastAsia="宋体" w:cs="Times New Roman"/>
                <w:sz w:val="22"/>
                <w:szCs w:val="22"/>
                <w:lang w:val="en-US" w:eastAsia="zh-CN"/>
              </w:rPr>
              <w:t>根据专家漏洞扫描和渗透测试过程中发现的弱点和安全隐患，提出安全加固整改方案，配合医院对信息系统的服务器、网络设备、信息安全设备进行安全加固服务，提高系统与服务器平台运行的安全性、可靠性。</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p>
        </w:tc>
        <w:tc>
          <w:tcPr>
            <w:tcW w:w="56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按需</w:t>
            </w:r>
          </w:p>
        </w:tc>
        <w:tc>
          <w:tcPr>
            <w:tcW w:w="75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《安全加固服务报告》（需含加固方案及加固前后对比记录）</w:t>
            </w:r>
          </w:p>
        </w:tc>
      </w:tr>
      <w:tr>
        <w:tblPrEx>
          <w:tblCellMar>
            <w:top w:w="0" w:type="dxa"/>
            <w:left w:w="108" w:type="dxa"/>
            <w:bottom w:w="0" w:type="dxa"/>
            <w:right w:w="108" w:type="dxa"/>
          </w:tblCellMar>
        </w:tblPrEx>
        <w:trPr>
          <w:cantSplit/>
          <w:trHeight w:val="1950" w:hRule="atLeast"/>
        </w:trPr>
        <w:tc>
          <w:tcPr>
            <w:tcW w:w="238"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8</w:t>
            </w:r>
          </w:p>
        </w:tc>
        <w:tc>
          <w:tcPr>
            <w:tcW w:w="48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应急响应服务</w:t>
            </w:r>
          </w:p>
        </w:tc>
        <w:tc>
          <w:tcPr>
            <w:tcW w:w="2958" w:type="pct"/>
            <w:tcBorders>
              <w:top w:val="nil"/>
              <w:left w:val="nil"/>
              <w:bottom w:val="single" w:color="auto" w:sz="4" w:space="0"/>
              <w:right w:val="single" w:color="auto" w:sz="4" w:space="0"/>
            </w:tcBorders>
            <w:noWrap w:val="0"/>
            <w:vAlign w:val="center"/>
          </w:tcPr>
          <w:p>
            <w:pPr>
              <w:rPr>
                <w:sz w:val="22"/>
                <w:szCs w:val="22"/>
              </w:rPr>
            </w:pPr>
            <w:r>
              <w:rPr>
                <w:rFonts w:hint="default" w:ascii="Times New Roman" w:hAnsi="Times New Roman" w:eastAsia="宋体" w:cs="Times New Roman"/>
                <w:sz w:val="22"/>
                <w:szCs w:val="22"/>
                <w:lang w:val="en-US" w:eastAsia="zh-CN"/>
              </w:rPr>
              <w:t>提供安全事件应急响应，包括病毒传播、网络攻击、黑客入侵等导致业务中断或数据丢失的情况，组织技术力量制定应急方案，必要时增派工程师现场处置。</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p>
        </w:tc>
        <w:tc>
          <w:tcPr>
            <w:tcW w:w="56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按需</w:t>
            </w:r>
          </w:p>
        </w:tc>
        <w:tc>
          <w:tcPr>
            <w:tcW w:w="75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《应急响应方案》《应急响应总结报告》</w:t>
            </w:r>
          </w:p>
        </w:tc>
      </w:tr>
      <w:tr>
        <w:tblPrEx>
          <w:tblCellMar>
            <w:top w:w="0" w:type="dxa"/>
            <w:left w:w="108" w:type="dxa"/>
            <w:bottom w:w="0" w:type="dxa"/>
            <w:right w:w="108" w:type="dxa"/>
          </w:tblCellMar>
        </w:tblPrEx>
        <w:trPr>
          <w:cantSplit/>
          <w:trHeight w:val="2421" w:hRule="atLeast"/>
        </w:trPr>
        <w:tc>
          <w:tcPr>
            <w:tcW w:w="238"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9</w:t>
            </w:r>
          </w:p>
        </w:tc>
        <w:tc>
          <w:tcPr>
            <w:tcW w:w="48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应急演练服务</w:t>
            </w:r>
          </w:p>
        </w:tc>
        <w:tc>
          <w:tcPr>
            <w:tcW w:w="2958" w:type="pct"/>
            <w:tcBorders>
              <w:top w:val="nil"/>
              <w:left w:val="nil"/>
              <w:bottom w:val="single" w:color="auto" w:sz="4" w:space="0"/>
              <w:right w:val="single" w:color="auto" w:sz="4" w:space="0"/>
            </w:tcBorders>
            <w:noWrap w:val="0"/>
            <w:vAlign w:val="center"/>
          </w:tcPr>
          <w:p>
            <w:pPr>
              <w:rPr>
                <w:sz w:val="22"/>
                <w:szCs w:val="22"/>
              </w:rPr>
            </w:pPr>
            <w:r>
              <w:rPr>
                <w:rFonts w:hint="default" w:ascii="Times New Roman" w:hAnsi="Times New Roman" w:eastAsia="宋体" w:cs="Times New Roman"/>
                <w:sz w:val="22"/>
                <w:szCs w:val="22"/>
                <w:lang w:val="en-US" w:eastAsia="zh-CN"/>
              </w:rPr>
              <w:t>根据医院目前应急管理现状和应急资产现状进行评估，协助医院进行应急管理组织与人员结构设计、应急预案设计以及开展应急演练，从整体业务出发完善优化应急管理体系。当信息安全事件发生时，及时，准确的解决事件，将安全事件的影响及损失降到最低。</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p>
        </w:tc>
        <w:tc>
          <w:tcPr>
            <w:tcW w:w="56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每年至少一次</w:t>
            </w:r>
          </w:p>
        </w:tc>
        <w:tc>
          <w:tcPr>
            <w:tcW w:w="75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《应急演练方案》</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《应急演练总结报告》</w:t>
            </w:r>
          </w:p>
        </w:tc>
      </w:tr>
      <w:tr>
        <w:tblPrEx>
          <w:tblCellMar>
            <w:top w:w="0" w:type="dxa"/>
            <w:left w:w="108" w:type="dxa"/>
            <w:bottom w:w="0" w:type="dxa"/>
            <w:right w:w="108" w:type="dxa"/>
          </w:tblCellMar>
        </w:tblPrEx>
        <w:trPr>
          <w:cantSplit/>
          <w:trHeight w:val="2811" w:hRule="atLeast"/>
        </w:trPr>
        <w:tc>
          <w:tcPr>
            <w:tcW w:w="238"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10</w:t>
            </w:r>
          </w:p>
        </w:tc>
        <w:tc>
          <w:tcPr>
            <w:tcW w:w="48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安全常规培训</w:t>
            </w:r>
          </w:p>
        </w:tc>
        <w:tc>
          <w:tcPr>
            <w:tcW w:w="295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1.全员安全意识培训：面向全院员工开展，内容涵盖网络安全相关政策法规解读、日常办公安全防范要点等基础内容；</w:t>
            </w:r>
          </w:p>
          <w:p>
            <w:pPr>
              <w:rPr>
                <w:sz w:val="22"/>
                <w:szCs w:val="22"/>
              </w:rPr>
            </w:pPr>
            <w:r>
              <w:rPr>
                <w:rFonts w:hint="default" w:ascii="Times New Roman" w:hAnsi="Times New Roman" w:eastAsia="宋体" w:cs="Times New Roman"/>
                <w:sz w:val="22"/>
                <w:szCs w:val="22"/>
                <w:lang w:val="en-US" w:eastAsia="zh-CN"/>
              </w:rPr>
              <w:t>2.专业人员安全技术培训：面向院内信息化建设技术人员，需开展专项安全技术培训，强化其专业安全意识、提升信息安全技术知识水平与实操能力。</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p>
        </w:tc>
        <w:tc>
          <w:tcPr>
            <w:tcW w:w="56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全员安全培训每年至少一次</w:t>
            </w:r>
          </w:p>
        </w:tc>
        <w:tc>
          <w:tcPr>
            <w:tcW w:w="75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《安全培训教材》</w:t>
            </w:r>
          </w:p>
        </w:tc>
      </w:tr>
      <w:tr>
        <w:tblPrEx>
          <w:tblCellMar>
            <w:top w:w="0" w:type="dxa"/>
            <w:left w:w="108" w:type="dxa"/>
            <w:bottom w:w="0" w:type="dxa"/>
            <w:right w:w="108" w:type="dxa"/>
          </w:tblCellMar>
        </w:tblPrEx>
        <w:trPr>
          <w:cantSplit/>
          <w:trHeight w:val="1710" w:hRule="atLeast"/>
        </w:trPr>
        <w:tc>
          <w:tcPr>
            <w:tcW w:w="238"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11</w:t>
            </w:r>
          </w:p>
        </w:tc>
        <w:tc>
          <w:tcPr>
            <w:tcW w:w="48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安全咨询服务</w:t>
            </w:r>
          </w:p>
        </w:tc>
        <w:tc>
          <w:tcPr>
            <w:tcW w:w="2958" w:type="pct"/>
            <w:tcBorders>
              <w:top w:val="nil"/>
              <w:left w:val="nil"/>
              <w:bottom w:val="single" w:color="auto" w:sz="4" w:space="0"/>
              <w:right w:val="single" w:color="auto" w:sz="4" w:space="0"/>
            </w:tcBorders>
            <w:noWrap w:val="0"/>
            <w:vAlign w:val="center"/>
          </w:tcPr>
          <w:p>
            <w:pPr>
              <w:rPr>
                <w:sz w:val="22"/>
                <w:szCs w:val="22"/>
              </w:rPr>
            </w:pPr>
            <w:r>
              <w:rPr>
                <w:rFonts w:hint="default" w:ascii="Times New Roman" w:hAnsi="Times New Roman" w:eastAsia="宋体" w:cs="Times New Roman"/>
                <w:sz w:val="22"/>
                <w:szCs w:val="22"/>
                <w:lang w:val="en-US" w:eastAsia="zh-CN"/>
              </w:rPr>
              <w:t>提供防病毒、安全设备、网络设备、系统、数据库等相关技术问题咨询。</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p>
        </w:tc>
        <w:tc>
          <w:tcPr>
            <w:tcW w:w="56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按需。</w:t>
            </w:r>
          </w:p>
        </w:tc>
        <w:tc>
          <w:tcPr>
            <w:tcW w:w="75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《年度安全规划方案》</w:t>
            </w:r>
          </w:p>
        </w:tc>
      </w:tr>
      <w:tr>
        <w:tblPrEx>
          <w:tblCellMar>
            <w:top w:w="0" w:type="dxa"/>
            <w:left w:w="108" w:type="dxa"/>
            <w:bottom w:w="0" w:type="dxa"/>
            <w:right w:w="108" w:type="dxa"/>
          </w:tblCellMar>
        </w:tblPrEx>
        <w:trPr>
          <w:cantSplit/>
          <w:trHeight w:val="1256" w:hRule="atLeast"/>
        </w:trPr>
        <w:tc>
          <w:tcPr>
            <w:tcW w:w="238"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12</w:t>
            </w:r>
          </w:p>
        </w:tc>
        <w:tc>
          <w:tcPr>
            <w:tcW w:w="48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安全通告</w:t>
            </w:r>
          </w:p>
        </w:tc>
        <w:tc>
          <w:tcPr>
            <w:tcW w:w="2958" w:type="pct"/>
            <w:tcBorders>
              <w:top w:val="nil"/>
              <w:left w:val="nil"/>
              <w:bottom w:val="single" w:color="auto" w:sz="4" w:space="0"/>
              <w:right w:val="single" w:color="auto" w:sz="4" w:space="0"/>
            </w:tcBorders>
            <w:noWrap w:val="0"/>
            <w:vAlign w:val="center"/>
          </w:tcPr>
          <w:p>
            <w:pPr>
              <w:rPr>
                <w:sz w:val="22"/>
                <w:szCs w:val="22"/>
              </w:rPr>
            </w:pPr>
            <w:r>
              <w:rPr>
                <w:rFonts w:hint="default" w:ascii="Times New Roman" w:hAnsi="Times New Roman" w:eastAsia="宋体" w:cs="Times New Roman"/>
                <w:sz w:val="22"/>
                <w:szCs w:val="22"/>
                <w:lang w:val="en-US" w:eastAsia="zh-CN"/>
              </w:rPr>
              <w:t>1.厂商安全通告：根据客户订阅内容，提供主流厂商的中文安全通告；</w:t>
            </w:r>
            <w:r>
              <w:rPr>
                <w:rFonts w:hint="default" w:ascii="Times New Roman" w:hAnsi="Times New Roman" w:eastAsia="宋体" w:cs="Times New Roman"/>
                <w:sz w:val="22"/>
                <w:szCs w:val="22"/>
                <w:lang w:val="en-US" w:eastAsia="zh-CN"/>
              </w:rPr>
              <w:br w:type="textWrapping"/>
            </w:r>
            <w:r>
              <w:rPr>
                <w:rFonts w:hint="default" w:ascii="Times New Roman" w:hAnsi="Times New Roman" w:eastAsia="宋体" w:cs="Times New Roman"/>
                <w:sz w:val="22"/>
                <w:szCs w:val="22"/>
                <w:lang w:val="en-US" w:eastAsia="zh-CN"/>
              </w:rPr>
              <w:t>2. 其他安全通告：其他应用系统、安全组织的安全通告；</w:t>
            </w:r>
            <w:r>
              <w:rPr>
                <w:rFonts w:hint="default" w:ascii="Times New Roman" w:hAnsi="Times New Roman" w:eastAsia="宋体" w:cs="Times New Roman"/>
                <w:sz w:val="22"/>
                <w:szCs w:val="22"/>
                <w:lang w:val="en-US" w:eastAsia="zh-CN"/>
              </w:rPr>
              <w:br w:type="textWrapping"/>
            </w:r>
            <w:r>
              <w:rPr>
                <w:rFonts w:hint="default" w:ascii="Times New Roman" w:hAnsi="Times New Roman" w:eastAsia="宋体" w:cs="Times New Roman"/>
                <w:sz w:val="22"/>
                <w:szCs w:val="22"/>
                <w:lang w:val="en-US" w:eastAsia="zh-CN"/>
              </w:rPr>
              <w:t>3. 最新公布漏洞及解决方法安全通告；</w:t>
            </w:r>
            <w:r>
              <w:rPr>
                <w:rFonts w:hint="default" w:ascii="Times New Roman" w:hAnsi="Times New Roman" w:eastAsia="宋体" w:cs="Times New Roman"/>
                <w:sz w:val="22"/>
                <w:szCs w:val="22"/>
                <w:lang w:val="en-US" w:eastAsia="zh-CN"/>
              </w:rPr>
              <w:br w:type="textWrapping"/>
            </w:r>
            <w:r>
              <w:rPr>
                <w:rFonts w:hint="default" w:ascii="Times New Roman" w:hAnsi="Times New Roman" w:eastAsia="宋体" w:cs="Times New Roman"/>
                <w:sz w:val="22"/>
                <w:szCs w:val="22"/>
                <w:lang w:val="en-US" w:eastAsia="zh-CN"/>
              </w:rPr>
              <w:t>4. 最新的病毒动态及防治；</w:t>
            </w:r>
            <w:r>
              <w:rPr>
                <w:rFonts w:hint="default" w:ascii="Times New Roman" w:hAnsi="Times New Roman" w:eastAsia="宋体" w:cs="Times New Roman"/>
                <w:sz w:val="22"/>
                <w:szCs w:val="22"/>
                <w:lang w:val="en-US" w:eastAsia="zh-CN"/>
              </w:rPr>
              <w:br w:type="textWrapping"/>
            </w:r>
            <w:r>
              <w:rPr>
                <w:rFonts w:hint="default" w:ascii="Times New Roman" w:hAnsi="Times New Roman" w:eastAsia="宋体" w:cs="Times New Roman"/>
                <w:sz w:val="22"/>
                <w:szCs w:val="22"/>
                <w:lang w:val="en-US" w:eastAsia="zh-CN"/>
              </w:rPr>
              <w:t>5. 对于影响力大的计算机病毒24小时内提供具体的检测和修复办法。</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p>
        </w:tc>
        <w:tc>
          <w:tcPr>
            <w:tcW w:w="56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按需</w:t>
            </w:r>
          </w:p>
        </w:tc>
        <w:tc>
          <w:tcPr>
            <w:tcW w:w="75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相关安全通告资料</w:t>
            </w:r>
          </w:p>
        </w:tc>
      </w:tr>
      <w:tr>
        <w:tblPrEx>
          <w:tblCellMar>
            <w:top w:w="0" w:type="dxa"/>
            <w:left w:w="108" w:type="dxa"/>
            <w:bottom w:w="0" w:type="dxa"/>
            <w:right w:w="108" w:type="dxa"/>
          </w:tblCellMar>
        </w:tblPrEx>
        <w:trPr>
          <w:cantSplit/>
          <w:trHeight w:val="3021" w:hRule="atLeast"/>
        </w:trPr>
        <w:tc>
          <w:tcPr>
            <w:tcW w:w="238"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13</w:t>
            </w:r>
          </w:p>
        </w:tc>
        <w:tc>
          <w:tcPr>
            <w:tcW w:w="48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重</w:t>
            </w:r>
            <w:r>
              <w:rPr>
                <w:rFonts w:hint="eastAsia" w:ascii="Times New Roman" w:hAnsi="Times New Roman" w:eastAsia="宋体" w:cs="Times New Roman"/>
                <w:sz w:val="22"/>
                <w:szCs w:val="22"/>
                <w:lang w:val="en-US" w:eastAsia="zh-CN"/>
              </w:rPr>
              <w:t>要活动</w:t>
            </w:r>
            <w:r>
              <w:rPr>
                <w:rFonts w:hint="default" w:ascii="Times New Roman" w:hAnsi="Times New Roman" w:eastAsia="宋体" w:cs="Times New Roman"/>
                <w:sz w:val="22"/>
                <w:szCs w:val="22"/>
                <w:lang w:val="en-US" w:eastAsia="zh-CN"/>
              </w:rPr>
              <w:t>保</w:t>
            </w:r>
            <w:r>
              <w:rPr>
                <w:rFonts w:hint="eastAsia" w:ascii="Times New Roman" w:hAnsi="Times New Roman" w:eastAsia="宋体" w:cs="Times New Roman"/>
                <w:sz w:val="22"/>
                <w:szCs w:val="22"/>
                <w:lang w:val="en-US" w:eastAsia="zh-CN"/>
              </w:rPr>
              <w:t>障</w:t>
            </w:r>
            <w:r>
              <w:rPr>
                <w:rFonts w:hint="default" w:ascii="Times New Roman" w:hAnsi="Times New Roman" w:eastAsia="宋体" w:cs="Times New Roman"/>
                <w:sz w:val="22"/>
                <w:szCs w:val="22"/>
                <w:lang w:val="en-US" w:eastAsia="zh-CN"/>
              </w:rPr>
              <w:t>服务</w:t>
            </w:r>
          </w:p>
        </w:tc>
        <w:tc>
          <w:tcPr>
            <w:tcW w:w="295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b w:val="0"/>
                <w:bCs w:val="0"/>
                <w:sz w:val="22"/>
                <w:szCs w:val="22"/>
                <w:lang w:val="en-US" w:eastAsia="zh-CN"/>
              </w:rPr>
              <w:t>在重要会议、活动及节假日期间，如每年</w:t>
            </w:r>
            <w:r>
              <w:rPr>
                <w:rFonts w:hint="default" w:ascii="Times New Roman" w:hAnsi="Times New Roman" w:eastAsia="宋体" w:cs="Times New Roman"/>
                <w:b w:val="0"/>
                <w:bCs w:val="0"/>
                <w:i w:val="0"/>
                <w:iCs w:val="0"/>
                <w:caps w:val="0"/>
                <w:spacing w:val="0"/>
                <w:sz w:val="22"/>
                <w:szCs w:val="22"/>
              </w:rPr>
              <w:t>党和国家重要</w:t>
            </w:r>
            <w:r>
              <w:rPr>
                <w:rFonts w:hint="default" w:ascii="Times New Roman" w:hAnsi="Times New Roman" w:eastAsia="宋体" w:cs="Times New Roman"/>
                <w:b w:val="0"/>
                <w:bCs w:val="0"/>
                <w:i w:val="0"/>
                <w:iCs w:val="0"/>
                <w:caps w:val="0"/>
                <w:spacing w:val="0"/>
                <w:sz w:val="22"/>
                <w:szCs w:val="22"/>
                <w:lang w:val="en-US" w:eastAsia="zh-CN"/>
              </w:rPr>
              <w:t>赛事、</w:t>
            </w:r>
            <w:r>
              <w:rPr>
                <w:rFonts w:hint="default" w:ascii="Times New Roman" w:hAnsi="Times New Roman" w:eastAsia="宋体" w:cs="Times New Roman"/>
                <w:b w:val="0"/>
                <w:bCs w:val="0"/>
                <w:i w:val="0"/>
                <w:iCs w:val="0"/>
                <w:caps w:val="0"/>
                <w:spacing w:val="0"/>
                <w:sz w:val="22"/>
                <w:szCs w:val="22"/>
              </w:rPr>
              <w:t>会议、重要活动</w:t>
            </w:r>
            <w:r>
              <w:rPr>
                <w:rFonts w:hint="default" w:ascii="Times New Roman" w:hAnsi="Times New Roman" w:eastAsia="宋体" w:cs="Times New Roman"/>
                <w:b w:val="0"/>
                <w:bCs w:val="0"/>
                <w:i w:val="0"/>
                <w:iCs w:val="0"/>
                <w:caps w:val="0"/>
                <w:spacing w:val="0"/>
                <w:sz w:val="22"/>
                <w:szCs w:val="22"/>
                <w:lang w:eastAsia="zh-CN"/>
              </w:rPr>
              <w:t>，</w:t>
            </w:r>
            <w:r>
              <w:rPr>
                <w:rFonts w:hint="default" w:ascii="Times New Roman" w:hAnsi="Times New Roman" w:eastAsia="宋体" w:cs="Times New Roman"/>
                <w:b w:val="0"/>
                <w:bCs w:val="0"/>
                <w:sz w:val="22"/>
                <w:szCs w:val="22"/>
                <w:lang w:val="en-US" w:eastAsia="zh-CN"/>
              </w:rPr>
              <w:t>省市级各项重大赛事、会议，院内八一慰问等重要会议、各法定节假日等，</w:t>
            </w:r>
            <w:r>
              <w:rPr>
                <w:rFonts w:hint="default" w:ascii="Times New Roman" w:hAnsi="Times New Roman" w:eastAsia="宋体" w:cs="Times New Roman"/>
                <w:sz w:val="22"/>
                <w:szCs w:val="22"/>
                <w:lang w:val="en-US" w:eastAsia="zh-CN"/>
              </w:rPr>
              <w:t>协助开展安全巡检与强化防护，防范攻击、泄露、数据损坏等风险，保障业务连续性：</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1.重</w:t>
            </w:r>
            <w:r>
              <w:rPr>
                <w:rFonts w:hint="eastAsia" w:ascii="Times New Roman" w:hAnsi="Times New Roman" w:eastAsia="宋体" w:cs="Times New Roman"/>
                <w:sz w:val="22"/>
                <w:szCs w:val="22"/>
                <w:lang w:val="en-US" w:eastAsia="zh-CN"/>
              </w:rPr>
              <w:t>要活动</w:t>
            </w:r>
            <w:r>
              <w:rPr>
                <w:rFonts w:hint="default" w:ascii="Times New Roman" w:hAnsi="Times New Roman" w:eastAsia="宋体" w:cs="Times New Roman"/>
                <w:sz w:val="22"/>
                <w:szCs w:val="22"/>
                <w:lang w:val="en-US" w:eastAsia="zh-CN"/>
              </w:rPr>
              <w:t>保</w:t>
            </w:r>
            <w:r>
              <w:rPr>
                <w:rFonts w:hint="eastAsia" w:ascii="Times New Roman" w:hAnsi="Times New Roman" w:eastAsia="宋体" w:cs="Times New Roman"/>
                <w:sz w:val="22"/>
                <w:szCs w:val="22"/>
                <w:lang w:val="en-US" w:eastAsia="zh-CN"/>
              </w:rPr>
              <w:t>障</w:t>
            </w:r>
            <w:r>
              <w:rPr>
                <w:rFonts w:hint="default" w:ascii="Times New Roman" w:hAnsi="Times New Roman" w:eastAsia="宋体" w:cs="Times New Roman"/>
                <w:sz w:val="22"/>
                <w:szCs w:val="22"/>
                <w:lang w:val="en-US" w:eastAsia="zh-CN"/>
              </w:rPr>
              <w:t>前进行设备巡检及风险自查；</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w:t>
            </w:r>
            <w:r>
              <w:rPr>
                <w:rFonts w:hint="eastAsia" w:ascii="Times New Roman" w:hAnsi="Times New Roman" w:eastAsia="宋体" w:cs="Times New Roman"/>
                <w:sz w:val="22"/>
                <w:szCs w:val="22"/>
                <w:lang w:val="en-US" w:eastAsia="zh-CN"/>
              </w:rPr>
              <w:t>重要活动期间</w:t>
            </w:r>
            <w:r>
              <w:rPr>
                <w:rFonts w:hint="default" w:ascii="Times New Roman" w:hAnsi="Times New Roman" w:eastAsia="宋体" w:cs="Times New Roman"/>
                <w:sz w:val="22"/>
                <w:szCs w:val="22"/>
                <w:lang w:val="en-US" w:eastAsia="zh-CN"/>
              </w:rPr>
              <w:t>按院方需要安排人员现场或远程</w:t>
            </w:r>
            <w:r>
              <w:rPr>
                <w:rFonts w:hint="eastAsia" w:ascii="Times New Roman" w:hAnsi="Times New Roman" w:eastAsia="宋体" w:cs="Times New Roman"/>
                <w:sz w:val="22"/>
                <w:szCs w:val="22"/>
                <w:lang w:val="en-US" w:eastAsia="zh-CN"/>
              </w:rPr>
              <w:t>全程提供</w:t>
            </w:r>
            <w:r>
              <w:rPr>
                <w:rFonts w:hint="default" w:ascii="Times New Roman" w:hAnsi="Times New Roman" w:eastAsia="宋体" w:cs="Times New Roman"/>
                <w:sz w:val="22"/>
                <w:szCs w:val="22"/>
                <w:lang w:val="en-US" w:eastAsia="zh-CN"/>
              </w:rPr>
              <w:t>值守</w:t>
            </w:r>
            <w:r>
              <w:rPr>
                <w:rFonts w:hint="eastAsia" w:ascii="Times New Roman" w:hAnsi="Times New Roman" w:eastAsia="宋体" w:cs="Times New Roman"/>
                <w:sz w:val="22"/>
                <w:szCs w:val="22"/>
                <w:lang w:val="en-US" w:eastAsia="zh-CN"/>
              </w:rPr>
              <w:t>服务</w:t>
            </w:r>
            <w:r>
              <w:rPr>
                <w:rFonts w:hint="default" w:ascii="Times New Roman" w:hAnsi="Times New Roman" w:eastAsia="宋体" w:cs="Times New Roman"/>
                <w:sz w:val="22"/>
                <w:szCs w:val="22"/>
                <w:lang w:val="en-US" w:eastAsia="zh-CN"/>
              </w:rPr>
              <w:t>。</w:t>
            </w:r>
          </w:p>
        </w:tc>
        <w:tc>
          <w:tcPr>
            <w:tcW w:w="56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按需</w:t>
            </w:r>
          </w:p>
        </w:tc>
        <w:tc>
          <w:tcPr>
            <w:tcW w:w="75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重</w:t>
            </w:r>
            <w:r>
              <w:rPr>
                <w:rFonts w:hint="eastAsia" w:ascii="Times New Roman" w:hAnsi="Times New Roman" w:eastAsia="宋体" w:cs="Times New Roman"/>
                <w:sz w:val="22"/>
                <w:szCs w:val="22"/>
                <w:lang w:val="en-US" w:eastAsia="zh-CN"/>
              </w:rPr>
              <w:t>要活动</w:t>
            </w:r>
            <w:r>
              <w:rPr>
                <w:rFonts w:hint="default" w:ascii="Times New Roman" w:hAnsi="Times New Roman" w:eastAsia="宋体" w:cs="Times New Roman"/>
                <w:sz w:val="22"/>
                <w:szCs w:val="22"/>
                <w:lang w:val="en-US" w:eastAsia="zh-CN"/>
              </w:rPr>
              <w:t>保</w:t>
            </w:r>
            <w:r>
              <w:rPr>
                <w:rFonts w:hint="eastAsia" w:ascii="Times New Roman" w:hAnsi="Times New Roman" w:eastAsia="宋体" w:cs="Times New Roman"/>
                <w:sz w:val="22"/>
                <w:szCs w:val="22"/>
                <w:lang w:val="en-US" w:eastAsia="zh-CN"/>
              </w:rPr>
              <w:t>障</w:t>
            </w:r>
            <w:r>
              <w:rPr>
                <w:rFonts w:hint="default" w:ascii="Times New Roman" w:hAnsi="Times New Roman" w:eastAsia="宋体" w:cs="Times New Roman"/>
                <w:sz w:val="22"/>
                <w:szCs w:val="22"/>
                <w:lang w:val="en-US" w:eastAsia="zh-CN"/>
              </w:rPr>
              <w:t>服务记录（含巡检、值守及风险处置情况）</w:t>
            </w:r>
          </w:p>
        </w:tc>
      </w:tr>
      <w:tr>
        <w:tblPrEx>
          <w:tblCellMar>
            <w:top w:w="0" w:type="dxa"/>
            <w:left w:w="108" w:type="dxa"/>
            <w:bottom w:w="0" w:type="dxa"/>
            <w:right w:w="108" w:type="dxa"/>
          </w:tblCellMar>
        </w:tblPrEx>
        <w:trPr>
          <w:cantSplit/>
          <w:trHeight w:val="62" w:hRule="atLeast"/>
        </w:trPr>
        <w:tc>
          <w:tcPr>
            <w:tcW w:w="238"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14</w:t>
            </w:r>
          </w:p>
        </w:tc>
        <w:tc>
          <w:tcPr>
            <w:tcW w:w="48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MSS托管平台订阅</w:t>
            </w:r>
          </w:p>
        </w:tc>
        <w:tc>
          <w:tcPr>
            <w:tcW w:w="2958" w:type="pct"/>
            <w:tcBorders>
              <w:top w:val="nil"/>
              <w:left w:val="nil"/>
              <w:bottom w:val="single" w:color="auto" w:sz="4" w:space="0"/>
              <w:right w:val="single" w:color="auto" w:sz="4" w:space="0"/>
            </w:tcBorders>
            <w:noWrap w:val="0"/>
            <w:vAlign w:val="center"/>
          </w:tcPr>
          <w:p>
            <w:pPr>
              <w:rPr>
                <w:sz w:val="22"/>
                <w:szCs w:val="22"/>
              </w:rPr>
            </w:pPr>
            <w:r>
              <w:rPr>
                <w:rFonts w:hint="default" w:ascii="Times New Roman" w:hAnsi="Times New Roman" w:eastAsia="宋体" w:cs="Times New Roman"/>
                <w:sz w:val="22"/>
                <w:szCs w:val="22"/>
                <w:lang w:val="en-US" w:eastAsia="zh-CN"/>
              </w:rPr>
              <w:t>通过云端安全运营中心及安全专家团队，提供7×24h资产发现、入侵检测、失陷诊断（挖矿、远控等）及远程响应处置服务支持（关键基础设施、重要资产）。利用AI智能分析结合安全专家对网络流量分析系统检测到的安全事件进行分析研判，保障安全事件告警的准确性，并协助进行远程响应处置，持续提供真正有效的发现-防御-检测-响应处置的全生命周期网络安全服务。服务交付物包括月度安全运营服务报告、安全事件预警和处置通知（微信、邮件通知）等，最大支持1G流量接入服务。</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p>
        </w:tc>
        <w:tc>
          <w:tcPr>
            <w:tcW w:w="560"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7×24小时</w:t>
            </w:r>
          </w:p>
        </w:tc>
        <w:tc>
          <w:tcPr>
            <w:tcW w:w="75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月度安全运营服务报告</w:t>
            </w:r>
          </w:p>
        </w:tc>
      </w:tr>
      <w:tr>
        <w:tblPrEx>
          <w:tblCellMar>
            <w:top w:w="0" w:type="dxa"/>
            <w:left w:w="108" w:type="dxa"/>
            <w:bottom w:w="0" w:type="dxa"/>
            <w:right w:w="108" w:type="dxa"/>
          </w:tblCellMar>
        </w:tblPrEx>
        <w:trPr>
          <w:cantSplit/>
          <w:trHeight w:val="391" w:hRule="atLeast"/>
        </w:trPr>
        <w:tc>
          <w:tcPr>
            <w:tcW w:w="238" w:type="pct"/>
            <w:tcBorders>
              <w:top w:val="nil"/>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15</w:t>
            </w:r>
          </w:p>
        </w:tc>
        <w:tc>
          <w:tcPr>
            <w:tcW w:w="48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服务期</w:t>
            </w:r>
          </w:p>
        </w:tc>
        <w:tc>
          <w:tcPr>
            <w:tcW w:w="4275" w:type="pct"/>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1年</w:t>
            </w:r>
          </w:p>
        </w:tc>
      </w:tr>
    </w:tbl>
    <w:p/>
    <w:p>
      <w:pPr>
        <w:jc w:val="center"/>
        <w:rPr>
          <w:rFonts w:ascii="方正小标宋简体" w:hAnsi="Calibri" w:eastAsia="方正小标宋简体" w:cs="Times New Roman"/>
          <w:sz w:val="32"/>
          <w:szCs w:val="32"/>
        </w:rPr>
      </w:pPr>
      <w:r>
        <w:rPr>
          <w:rFonts w:hint="eastAsia" w:ascii="宋体" w:hAnsi="宋体" w:eastAsia="宋体"/>
          <w:sz w:val="28"/>
          <w:szCs w:val="28"/>
        </w:rPr>
        <w:br w:type="page"/>
      </w:r>
      <w:bookmarkStart w:id="0" w:name="OLE_LINK6"/>
      <w:r>
        <w:rPr>
          <w:rFonts w:hint="eastAsia" w:ascii="方正小标宋简体" w:hAnsi="Calibri" w:eastAsia="方正小标宋简体" w:cs="Times New Roman"/>
          <w:sz w:val="32"/>
          <w:szCs w:val="32"/>
        </w:rPr>
        <w:t>广东省第一荣军优抚医院廉洁承诺书</w:t>
      </w:r>
    </w:p>
    <w:p>
      <w:pPr>
        <w:adjustRightInd w:val="0"/>
        <w:snapToGrid w:val="0"/>
        <w:spacing w:line="460" w:lineRule="exact"/>
        <w:rPr>
          <w:rFonts w:hint="eastAsia" w:ascii="宋体" w:hAnsi="宋体" w:eastAsia="宋体" w:cs="Times New Roman"/>
          <w:szCs w:val="21"/>
        </w:rPr>
      </w:pPr>
      <w:r>
        <w:rPr>
          <w:rFonts w:hint="eastAsia" w:ascii="宋体" w:hAnsi="宋体" w:eastAsia="宋体" w:cs="Times New Roman"/>
          <w:szCs w:val="21"/>
        </w:rPr>
        <w:t>甲方：广东省第一荣军优抚医院</w:t>
      </w:r>
    </w:p>
    <w:p>
      <w:pPr>
        <w:adjustRightInd w:val="0"/>
        <w:snapToGrid w:val="0"/>
        <w:spacing w:line="460" w:lineRule="exact"/>
        <w:rPr>
          <w:rFonts w:hint="eastAsia" w:ascii="宋体" w:hAnsi="宋体" w:eastAsia="宋体" w:cs="Times New Roman"/>
          <w:szCs w:val="21"/>
        </w:rPr>
      </w:pPr>
      <w:r>
        <w:rPr>
          <w:rFonts w:hint="eastAsia" w:ascii="宋体" w:hAnsi="宋体" w:eastAsia="宋体" w:cs="Times New Roman"/>
          <w:szCs w:val="21"/>
        </w:rPr>
        <w:t>乙方：</w:t>
      </w:r>
      <w:r>
        <w:rPr>
          <w:rFonts w:hint="eastAsia" w:ascii="宋体" w:hAnsi="宋体" w:cs="Times New Roman"/>
          <w:szCs w:val="21"/>
          <w:lang w:val="en-US" w:eastAsia="zh-CN"/>
        </w:rPr>
        <w:t>XX</w:t>
      </w:r>
      <w:r>
        <w:rPr>
          <w:rFonts w:hint="eastAsia" w:ascii="宋体" w:hAnsi="宋体" w:eastAsia="宋体" w:cs="Times New Roman"/>
          <w:szCs w:val="21"/>
        </w:rPr>
        <w:t>公司</w:t>
      </w:r>
    </w:p>
    <w:p>
      <w:pPr>
        <w:adjustRightInd w:val="0"/>
        <w:snapToGrid w:val="0"/>
        <w:spacing w:line="460" w:lineRule="exact"/>
        <w:ind w:firstLine="660"/>
        <w:rPr>
          <w:rFonts w:hint="eastAsia" w:ascii="宋体" w:hAnsi="宋体" w:eastAsia="宋体" w:cs="Times New Roman"/>
          <w:szCs w:val="21"/>
        </w:rPr>
      </w:pPr>
      <w:r>
        <w:rPr>
          <w:rFonts w:ascii="宋体" w:hAnsi="宋体" w:eastAsia="宋体" w:cs="Times New Roman"/>
          <w:szCs w:val="21"/>
        </w:rPr>
        <w:t>为切实加强物资采购</w:t>
      </w:r>
      <w:r>
        <w:rPr>
          <w:rFonts w:hint="eastAsia" w:ascii="宋体" w:hAnsi="宋体" w:eastAsia="宋体" w:cs="Times New Roman"/>
          <w:szCs w:val="21"/>
        </w:rPr>
        <w:t>、基建</w:t>
      </w:r>
      <w:r>
        <w:rPr>
          <w:rFonts w:ascii="宋体" w:hAnsi="宋体" w:eastAsia="宋体" w:cs="Times New Roman"/>
          <w:szCs w:val="21"/>
        </w:rPr>
        <w:t>工程项目</w:t>
      </w:r>
      <w:r>
        <w:rPr>
          <w:rFonts w:hint="eastAsia" w:ascii="宋体" w:hAnsi="宋体" w:eastAsia="宋体" w:cs="Times New Roman"/>
          <w:szCs w:val="21"/>
        </w:rPr>
        <w:t>等</w:t>
      </w:r>
      <w:r>
        <w:rPr>
          <w:rFonts w:ascii="宋体" w:hAnsi="宋体" w:eastAsia="宋体" w:cs="Times New Roman"/>
          <w:szCs w:val="21"/>
        </w:rPr>
        <w:t>领域的党风廉政建设，严格遵守廉洁从业有关规定，有效</w:t>
      </w:r>
      <w:r>
        <w:rPr>
          <w:rFonts w:hint="eastAsia" w:ascii="宋体" w:hAnsi="宋体" w:eastAsia="宋体" w:cs="Times New Roman"/>
          <w:szCs w:val="21"/>
        </w:rPr>
        <w:t>防范商业贿赂，规范购销行为，</w:t>
      </w:r>
      <w:r>
        <w:rPr>
          <w:rFonts w:ascii="宋体" w:hAnsi="宋体" w:eastAsia="宋体" w:cs="Times New Roman"/>
          <w:szCs w:val="21"/>
        </w:rPr>
        <w:t>制止各种违法违纪行为</w:t>
      </w:r>
      <w:r>
        <w:rPr>
          <w:rFonts w:hint="eastAsia" w:ascii="宋体" w:hAnsi="宋体" w:eastAsia="宋体" w:cs="Times New Roman"/>
          <w:szCs w:val="21"/>
        </w:rPr>
        <w:t>、</w:t>
      </w:r>
      <w:r>
        <w:rPr>
          <w:rFonts w:ascii="宋体" w:hAnsi="宋体" w:eastAsia="宋体" w:cs="Times New Roman"/>
          <w:szCs w:val="21"/>
        </w:rPr>
        <w:t>腐败问题的发生，确保</w:t>
      </w:r>
      <w:r>
        <w:rPr>
          <w:rFonts w:hint="eastAsia" w:ascii="宋体" w:hAnsi="宋体" w:eastAsia="宋体" w:cs="Times New Roman"/>
          <w:szCs w:val="21"/>
        </w:rPr>
        <w:t>将</w:t>
      </w:r>
      <w:r>
        <w:rPr>
          <w:rFonts w:ascii="宋体" w:hAnsi="宋体" w:eastAsia="宋体" w:cs="Times New Roman"/>
          <w:szCs w:val="21"/>
        </w:rPr>
        <w:t>物资采购</w:t>
      </w:r>
      <w:r>
        <w:rPr>
          <w:rFonts w:hint="eastAsia" w:ascii="宋体" w:hAnsi="宋体" w:eastAsia="宋体" w:cs="Times New Roman"/>
          <w:szCs w:val="21"/>
        </w:rPr>
        <w:t>、基建</w:t>
      </w:r>
      <w:r>
        <w:rPr>
          <w:rFonts w:ascii="宋体" w:hAnsi="宋体" w:eastAsia="宋体" w:cs="Times New Roman"/>
          <w:szCs w:val="21"/>
        </w:rPr>
        <w:t>工程</w:t>
      </w:r>
      <w:r>
        <w:rPr>
          <w:rFonts w:hint="eastAsia" w:ascii="宋体" w:hAnsi="宋体" w:eastAsia="宋体" w:cs="Times New Roman"/>
          <w:szCs w:val="21"/>
        </w:rPr>
        <w:t>项目等日常采购工作打造</w:t>
      </w:r>
      <w:r>
        <w:rPr>
          <w:rFonts w:ascii="宋体" w:hAnsi="宋体" w:eastAsia="宋体" w:cs="Times New Roman"/>
          <w:szCs w:val="21"/>
        </w:rPr>
        <w:t>成为廉洁工程，促进</w:t>
      </w:r>
      <w:r>
        <w:rPr>
          <w:rFonts w:hint="eastAsia" w:ascii="宋体" w:hAnsi="宋体" w:eastAsia="宋体" w:cs="Times New Roman"/>
          <w:szCs w:val="21"/>
        </w:rPr>
        <w:t>医院各项工作</w:t>
      </w:r>
      <w:r>
        <w:rPr>
          <w:rFonts w:ascii="宋体" w:hAnsi="宋体" w:eastAsia="宋体" w:cs="Times New Roman"/>
          <w:szCs w:val="21"/>
        </w:rPr>
        <w:t>又好又快发展</w:t>
      </w:r>
      <w:r>
        <w:rPr>
          <w:rFonts w:hint="eastAsia" w:ascii="宋体" w:hAnsi="宋体" w:eastAsia="宋体" w:cs="Times New Roman"/>
          <w:szCs w:val="21"/>
        </w:rPr>
        <w:t>，经双方协商签署如下承诺书：</w:t>
      </w:r>
    </w:p>
    <w:p>
      <w:pPr>
        <w:adjustRightInd w:val="0"/>
        <w:snapToGrid w:val="0"/>
        <w:spacing w:line="460" w:lineRule="exact"/>
        <w:ind w:firstLine="660"/>
        <w:rPr>
          <w:rFonts w:hint="eastAsia" w:ascii="宋体" w:hAnsi="宋体" w:eastAsia="宋体" w:cs="Times New Roman"/>
          <w:szCs w:val="21"/>
        </w:rPr>
      </w:pPr>
      <w:r>
        <w:rPr>
          <w:rFonts w:hint="eastAsia" w:ascii="宋体" w:hAnsi="宋体" w:eastAsia="宋体" w:cs="Times New Roman"/>
          <w:szCs w:val="21"/>
        </w:rPr>
        <w:t>一、本承诺书所指采购工作是指以总务科牵头组织的物资采购、基建工程（含工程预算编制、工程招投标、工程监理、工程审核等）、设备维修（维保）、车辆维修保养等。</w:t>
      </w:r>
    </w:p>
    <w:p>
      <w:pPr>
        <w:adjustRightInd w:val="0"/>
        <w:snapToGrid w:val="0"/>
        <w:spacing w:line="460" w:lineRule="exact"/>
        <w:rPr>
          <w:rFonts w:hint="eastAsia" w:ascii="宋体" w:hAnsi="宋体" w:eastAsia="宋体" w:cs="Times New Roman"/>
          <w:szCs w:val="21"/>
        </w:rPr>
      </w:pPr>
      <w:r>
        <w:rPr>
          <w:rFonts w:hint="eastAsia" w:ascii="宋体" w:hAnsi="宋体" w:eastAsia="宋体" w:cs="Times New Roman"/>
          <w:szCs w:val="21"/>
        </w:rPr>
        <w:t xml:space="preserve">      二</w:t>
      </w:r>
      <w:r>
        <w:rPr>
          <w:rFonts w:ascii="宋体" w:hAnsi="宋体" w:eastAsia="宋体" w:cs="Times New Roman"/>
          <w:szCs w:val="21"/>
        </w:rPr>
        <w:t>、</w:t>
      </w:r>
      <w:r>
        <w:rPr>
          <w:rFonts w:hint="eastAsia" w:ascii="宋体" w:hAnsi="宋体" w:eastAsia="宋体" w:cs="Times New Roman"/>
          <w:szCs w:val="21"/>
        </w:rPr>
        <w:t>甲、乙双方</w:t>
      </w:r>
      <w:r>
        <w:rPr>
          <w:rFonts w:ascii="宋体" w:hAnsi="宋体" w:eastAsia="宋体" w:cs="Times New Roman"/>
          <w:szCs w:val="21"/>
        </w:rPr>
        <w:t>严格遵守党纪国法和各项政策规定，将廉政建设和从业规定的各项要求贯彻始终，廉洁自律、加强监督，确保</w:t>
      </w:r>
      <w:r>
        <w:rPr>
          <w:rFonts w:hint="eastAsia" w:ascii="宋体" w:hAnsi="宋体" w:eastAsia="宋体" w:cs="Times New Roman"/>
          <w:szCs w:val="21"/>
        </w:rPr>
        <w:t>将</w:t>
      </w:r>
      <w:r>
        <w:rPr>
          <w:rFonts w:ascii="宋体" w:hAnsi="宋体" w:eastAsia="宋体" w:cs="Times New Roman"/>
          <w:szCs w:val="21"/>
        </w:rPr>
        <w:t>物资采购</w:t>
      </w:r>
      <w:r>
        <w:rPr>
          <w:rFonts w:hint="eastAsia" w:ascii="宋体" w:hAnsi="宋体" w:eastAsia="宋体" w:cs="Times New Roman"/>
          <w:szCs w:val="21"/>
        </w:rPr>
        <w:t>、基建</w:t>
      </w:r>
      <w:r>
        <w:rPr>
          <w:rFonts w:ascii="宋体" w:hAnsi="宋体" w:eastAsia="宋体" w:cs="Times New Roman"/>
          <w:szCs w:val="21"/>
        </w:rPr>
        <w:t>工程项目</w:t>
      </w:r>
      <w:r>
        <w:rPr>
          <w:rFonts w:hint="eastAsia" w:ascii="宋体" w:hAnsi="宋体" w:eastAsia="宋体" w:cs="Times New Roman"/>
          <w:szCs w:val="21"/>
        </w:rPr>
        <w:t>等</w:t>
      </w:r>
      <w:r>
        <w:rPr>
          <w:rFonts w:ascii="宋体" w:hAnsi="宋体" w:eastAsia="宋体" w:cs="Times New Roman"/>
          <w:szCs w:val="21"/>
        </w:rPr>
        <w:t>建设成为廉洁工程。</w:t>
      </w:r>
    </w:p>
    <w:p>
      <w:pPr>
        <w:adjustRightInd w:val="0"/>
        <w:snapToGrid w:val="0"/>
        <w:spacing w:line="460" w:lineRule="exact"/>
        <w:ind w:firstLine="630"/>
        <w:rPr>
          <w:rFonts w:hint="eastAsia" w:ascii="宋体" w:hAnsi="宋体" w:eastAsia="宋体" w:cs="Times New Roman"/>
          <w:szCs w:val="21"/>
        </w:rPr>
      </w:pPr>
      <w:r>
        <w:rPr>
          <w:rFonts w:ascii="宋体" w:hAnsi="宋体" w:eastAsia="宋体" w:cs="Times New Roman"/>
          <w:szCs w:val="21"/>
        </w:rPr>
        <w:t>三、</w:t>
      </w:r>
      <w:r>
        <w:rPr>
          <w:rFonts w:hint="eastAsia" w:ascii="宋体" w:hAnsi="宋体" w:eastAsia="宋体" w:cs="Times New Roman"/>
          <w:szCs w:val="21"/>
        </w:rPr>
        <w:t>甲方工作人员不得参加涉及可能影响公正公平的宴请和商务活动。</w:t>
      </w:r>
    </w:p>
    <w:p>
      <w:pPr>
        <w:adjustRightInd w:val="0"/>
        <w:snapToGrid w:val="0"/>
        <w:spacing w:line="460" w:lineRule="exact"/>
        <w:ind w:firstLine="630"/>
        <w:rPr>
          <w:rFonts w:hint="eastAsia" w:ascii="宋体" w:hAnsi="宋体" w:eastAsia="宋体" w:cs="Times New Roman"/>
          <w:szCs w:val="21"/>
        </w:rPr>
      </w:pPr>
      <w:r>
        <w:rPr>
          <w:rFonts w:hint="eastAsia" w:ascii="宋体" w:hAnsi="宋体" w:eastAsia="宋体" w:cs="Times New Roman"/>
          <w:szCs w:val="21"/>
        </w:rPr>
        <w:t>四、甲方工作人员不得索要或收受乙方及其工作人员的红包、有价证券、贵重礼品等，不得索要或收受各种名义的回扣、手续费等好处费。</w:t>
      </w:r>
    </w:p>
    <w:p>
      <w:pPr>
        <w:adjustRightInd w:val="0"/>
        <w:snapToGrid w:val="0"/>
        <w:spacing w:line="460" w:lineRule="exact"/>
        <w:ind w:firstLine="630"/>
        <w:rPr>
          <w:rFonts w:hint="eastAsia" w:ascii="宋体" w:hAnsi="宋体" w:eastAsia="宋体" w:cs="Times New Roman"/>
          <w:szCs w:val="21"/>
        </w:rPr>
      </w:pPr>
      <w:r>
        <w:rPr>
          <w:rFonts w:hint="eastAsia" w:ascii="宋体" w:hAnsi="宋体" w:eastAsia="宋体" w:cs="Times New Roman"/>
          <w:szCs w:val="21"/>
        </w:rPr>
        <w:t>五、乙方及其工作人员不得以任何形式向甲方工作人员（含家属或亲友）行贿，乙方不得以各种借口邀请甲方工作人员参加可能影响今后工作的宴请、外出游玩和各种娱乐活动。</w:t>
      </w:r>
    </w:p>
    <w:p>
      <w:pPr>
        <w:adjustRightInd w:val="0"/>
        <w:snapToGrid w:val="0"/>
        <w:spacing w:line="460" w:lineRule="exact"/>
        <w:ind w:firstLine="630"/>
        <w:rPr>
          <w:rFonts w:hint="eastAsia" w:ascii="宋体" w:hAnsi="宋体" w:eastAsia="宋体" w:cs="Times New Roman"/>
          <w:szCs w:val="21"/>
        </w:rPr>
      </w:pPr>
      <w:r>
        <w:rPr>
          <w:rFonts w:hint="eastAsia" w:ascii="宋体" w:hAnsi="宋体" w:eastAsia="宋体" w:cs="Times New Roman"/>
          <w:szCs w:val="21"/>
        </w:rPr>
        <w:t>六、经查实无论是因甲方原因，或者乙方原因违反本承诺书的，甲方有权终止购销合同，乙方因甲方解除合同产生的损失由乙方自行承担，甲方因此遭受损失由乙方赔偿，并向有关政府部门报告及视情况按相关情况处理。</w:t>
      </w:r>
    </w:p>
    <w:p>
      <w:pPr>
        <w:adjustRightInd w:val="0"/>
        <w:snapToGrid w:val="0"/>
        <w:spacing w:line="460" w:lineRule="exact"/>
        <w:ind w:firstLine="630"/>
        <w:rPr>
          <w:rFonts w:hint="eastAsia" w:ascii="宋体" w:hAnsi="宋体" w:eastAsia="宋体" w:cs="Times New Roman"/>
          <w:szCs w:val="21"/>
        </w:rPr>
      </w:pPr>
      <w:r>
        <w:rPr>
          <w:rFonts w:hint="eastAsia" w:ascii="宋体" w:hAnsi="宋体" w:eastAsia="宋体" w:cs="Times New Roman"/>
          <w:szCs w:val="21"/>
        </w:rPr>
        <w:t>七、本承诺书作为物资采购、基建工程项目采购合同的重要组成部分，与正式签订的物资采购、基建工程项目实施合同一并执行且具有同等法律效力。</w:t>
      </w:r>
    </w:p>
    <w:p>
      <w:pPr>
        <w:adjustRightInd w:val="0"/>
        <w:snapToGrid w:val="0"/>
        <w:spacing w:line="460" w:lineRule="exact"/>
        <w:ind w:firstLine="630"/>
        <w:rPr>
          <w:rFonts w:hint="eastAsia" w:ascii="宋体" w:hAnsi="宋体" w:eastAsia="宋体" w:cs="Times New Roman"/>
          <w:szCs w:val="21"/>
        </w:rPr>
      </w:pPr>
      <w:r>
        <w:rPr>
          <w:rFonts w:hint="eastAsia" w:ascii="宋体" w:hAnsi="宋体" w:eastAsia="宋体" w:cs="Times New Roman"/>
          <w:szCs w:val="21"/>
        </w:rPr>
        <w:t>八、本承诺书一式6份，甲方执5份，乙方执1份。</w:t>
      </w:r>
    </w:p>
    <w:p>
      <w:pPr>
        <w:adjustRightInd w:val="0"/>
        <w:snapToGrid w:val="0"/>
        <w:spacing w:line="460" w:lineRule="exact"/>
        <w:ind w:firstLine="630"/>
        <w:rPr>
          <w:rFonts w:hint="eastAsia" w:ascii="宋体" w:hAnsi="宋体" w:eastAsia="宋体" w:cs="Times New Roman"/>
          <w:szCs w:val="21"/>
        </w:rPr>
      </w:pPr>
      <w:r>
        <w:rPr>
          <w:rFonts w:hint="eastAsia" w:ascii="宋体" w:hAnsi="宋体" w:eastAsia="宋体" w:cs="Times New Roman"/>
          <w:szCs w:val="21"/>
        </w:rPr>
        <w:t>九、本承诺书自签订之日起生效。</w:t>
      </w:r>
    </w:p>
    <w:p>
      <w:pPr>
        <w:adjustRightInd w:val="0"/>
        <w:snapToGrid w:val="0"/>
        <w:spacing w:line="460" w:lineRule="exact"/>
        <w:ind w:firstLine="1260" w:firstLineChars="600"/>
        <w:rPr>
          <w:rFonts w:hint="eastAsia" w:ascii="宋体" w:hAnsi="宋体" w:eastAsia="宋体" w:cs="Times New Roman"/>
          <w:szCs w:val="21"/>
        </w:rPr>
      </w:pPr>
      <w:r>
        <w:rPr>
          <w:rFonts w:hint="eastAsia" w:ascii="宋体" w:hAnsi="宋体" w:eastAsia="宋体" w:cs="Times New Roman"/>
          <w:szCs w:val="21"/>
        </w:rPr>
        <w:t>甲方（盖章）：                         乙方（盖章）：</w:t>
      </w:r>
    </w:p>
    <w:p>
      <w:pPr>
        <w:adjustRightInd w:val="0"/>
        <w:snapToGrid w:val="0"/>
        <w:spacing w:line="460" w:lineRule="exact"/>
        <w:ind w:firstLine="1260" w:firstLineChars="600"/>
        <w:rPr>
          <w:rFonts w:hint="eastAsia" w:ascii="宋体" w:hAnsi="宋体" w:eastAsia="宋体" w:cs="Times New Roman"/>
          <w:szCs w:val="21"/>
        </w:rPr>
      </w:pPr>
      <w:r>
        <w:rPr>
          <w:rFonts w:hint="eastAsia" w:ascii="宋体" w:hAnsi="宋体" w:eastAsia="宋体" w:cs="Times New Roman"/>
          <w:szCs w:val="21"/>
        </w:rPr>
        <w:t xml:space="preserve">                   </w:t>
      </w:r>
    </w:p>
    <w:p>
      <w:pPr>
        <w:adjustRightInd w:val="0"/>
        <w:snapToGrid w:val="0"/>
        <w:spacing w:line="460" w:lineRule="exact"/>
        <w:ind w:firstLine="1260" w:firstLineChars="600"/>
        <w:rPr>
          <w:rFonts w:hint="eastAsia" w:ascii="宋体" w:hAnsi="宋体" w:eastAsia="宋体" w:cs="Times New Roman"/>
          <w:szCs w:val="21"/>
        </w:rPr>
      </w:pPr>
      <w:r>
        <w:rPr>
          <w:rFonts w:hint="eastAsia" w:ascii="宋体" w:hAnsi="宋体" w:eastAsia="宋体" w:cs="Times New Roman"/>
          <w:szCs w:val="21"/>
        </w:rPr>
        <w:t>负责人：                              项目负责人：</w:t>
      </w:r>
    </w:p>
    <w:p>
      <w:pPr>
        <w:adjustRightInd w:val="0"/>
        <w:snapToGrid w:val="0"/>
        <w:spacing w:line="460" w:lineRule="exact"/>
        <w:ind w:firstLine="1260" w:firstLineChars="600"/>
        <w:rPr>
          <w:rFonts w:hint="eastAsia" w:ascii="宋体" w:hAnsi="宋体" w:eastAsia="宋体" w:cs="Times New Roman"/>
          <w:szCs w:val="21"/>
        </w:rPr>
      </w:pPr>
      <w:r>
        <w:rPr>
          <w:rFonts w:hint="eastAsia" w:ascii="宋体" w:hAnsi="宋体" w:eastAsia="宋体" w:cs="Times New Roman"/>
          <w:szCs w:val="21"/>
        </w:rPr>
        <w:t xml:space="preserve">                       </w:t>
      </w:r>
    </w:p>
    <w:p>
      <w:pPr>
        <w:adjustRightInd w:val="0"/>
        <w:snapToGrid w:val="0"/>
        <w:spacing w:line="460" w:lineRule="exact"/>
        <w:ind w:firstLine="1260" w:firstLineChars="600"/>
        <w:rPr>
          <w:rFonts w:hint="eastAsia" w:ascii="宋体" w:hAnsi="宋体" w:eastAsia="宋体" w:cs="Times New Roman"/>
          <w:szCs w:val="21"/>
        </w:rPr>
      </w:pPr>
      <w:r>
        <w:rPr>
          <w:rFonts w:hint="eastAsia" w:ascii="宋体" w:hAnsi="宋体" w:eastAsia="宋体" w:cs="Times New Roman"/>
          <w:szCs w:val="21"/>
        </w:rPr>
        <w:t>经办人：                              项目经办人：</w:t>
      </w:r>
    </w:p>
    <w:p>
      <w:pPr>
        <w:adjustRightInd w:val="0"/>
        <w:snapToGrid w:val="0"/>
        <w:spacing w:line="460" w:lineRule="exact"/>
        <w:ind w:firstLine="1785" w:firstLineChars="850"/>
        <w:rPr>
          <w:rFonts w:hint="eastAsia" w:ascii="宋体" w:hAnsi="宋体" w:eastAsia="宋体" w:cs="Times New Roman"/>
          <w:szCs w:val="21"/>
        </w:rPr>
      </w:pPr>
      <w:r>
        <w:rPr>
          <w:rFonts w:hint="eastAsia" w:ascii="宋体" w:hAnsi="宋体" w:eastAsia="宋体" w:cs="Times New Roman"/>
          <w:szCs w:val="21"/>
        </w:rPr>
        <w:t xml:space="preserve">  年   月   日                         年   月   日</w:t>
      </w:r>
      <w:bookmarkEnd w:id="0"/>
    </w:p>
    <w:p>
      <w:pPr>
        <w:pStyle w:val="2"/>
        <w:rPr>
          <w:rFonts w:hint="eastAsia" w:ascii="宋体" w:hAnsi="宋体" w:eastAsia="宋体" w:cs="Times New Roman"/>
          <w:szCs w:val="21"/>
        </w:rPr>
      </w:pPr>
    </w:p>
    <w:p>
      <w:pPr>
        <w:widowControl/>
        <w:spacing w:line="480" w:lineRule="exact"/>
        <w:jc w:val="center"/>
        <w:outlineLvl w:val="1"/>
        <w:rPr>
          <w:rFonts w:hint="eastAsia" w:ascii="宋体" w:hAnsi="宋体" w:eastAsia="宋体" w:cs="宋体"/>
          <w:b/>
          <w:kern w:val="36"/>
          <w:sz w:val="36"/>
          <w:szCs w:val="36"/>
        </w:rPr>
      </w:pPr>
      <w:r>
        <w:rPr>
          <w:rFonts w:hint="eastAsia" w:ascii="宋体" w:hAnsi="宋体" w:eastAsia="宋体" w:cs="宋体"/>
          <w:b/>
          <w:kern w:val="36"/>
          <w:sz w:val="36"/>
          <w:szCs w:val="36"/>
        </w:rPr>
        <w:t>保 密 协 议</w:t>
      </w:r>
    </w:p>
    <w:p>
      <w:pPr>
        <w:rPr>
          <w:rFonts w:hint="eastAsia" w:ascii="Monospaced Number" w:hAnsi="Monospaced Number" w:eastAsia="宋体" w:cs="Monospaced Number"/>
          <w:szCs w:val="21"/>
        </w:rPr>
      </w:pPr>
      <w:r>
        <w:rPr>
          <w:rFonts w:hint="eastAsia" w:ascii="宋体" w:hAnsi="宋体" w:eastAsia="宋体" w:cs="Arial"/>
          <w:b/>
          <w:bCs/>
          <w:kern w:val="0"/>
          <w:sz w:val="24"/>
          <w:szCs w:val="20"/>
        </w:rPr>
        <w:t>甲</w:t>
      </w:r>
      <w:r>
        <w:rPr>
          <w:rFonts w:hint="eastAsia" w:ascii="宋体" w:hAnsi="宋体" w:eastAsia="宋体" w:cs="Arial"/>
          <w:b/>
          <w:bCs/>
          <w:kern w:val="0"/>
          <w:sz w:val="24"/>
          <w:szCs w:val="24"/>
        </w:rPr>
        <w:t>方：广东省第一荣军优抚医院</w:t>
      </w:r>
    </w:p>
    <w:p>
      <w:pPr>
        <w:widowControl/>
        <w:spacing w:line="480" w:lineRule="exact"/>
        <w:jc w:val="left"/>
        <w:rPr>
          <w:rFonts w:hint="eastAsia" w:ascii="Calibri" w:hAnsi="Calibri" w:eastAsia="宋体" w:cs="Times New Roman"/>
          <w:b/>
          <w:bCs/>
          <w:sz w:val="24"/>
          <w:szCs w:val="24"/>
          <w:lang w:eastAsia="zh-CN"/>
        </w:rPr>
      </w:pPr>
      <w:r>
        <w:rPr>
          <w:rFonts w:hint="eastAsia" w:ascii="宋体" w:hAnsi="宋体" w:eastAsia="宋体" w:cs="Arial"/>
          <w:b/>
          <w:bCs/>
          <w:kern w:val="0"/>
          <w:sz w:val="24"/>
          <w:szCs w:val="20"/>
        </w:rPr>
        <w:t>乙方：</w:t>
      </w:r>
      <w:r>
        <w:rPr>
          <w:rFonts w:hint="eastAsia" w:ascii="Calibri" w:hAnsi="Calibri" w:eastAsia="宋体" w:cs="Times New Roman"/>
          <w:b/>
          <w:bCs/>
          <w:sz w:val="24"/>
          <w:szCs w:val="24"/>
          <w:lang w:val="en-US" w:eastAsia="zh-CN"/>
        </w:rPr>
        <w:t>XX</w:t>
      </w:r>
      <w:r>
        <w:rPr>
          <w:rFonts w:hint="eastAsia" w:ascii="Calibri" w:hAnsi="Calibri" w:eastAsia="宋体" w:cs="Times New Roman"/>
          <w:b/>
          <w:bCs/>
          <w:sz w:val="24"/>
          <w:szCs w:val="24"/>
          <w:lang w:eastAsia="zh-CN"/>
        </w:rPr>
        <w:t>公司</w:t>
      </w:r>
    </w:p>
    <w:p>
      <w:pPr>
        <w:keepNext w:val="0"/>
        <w:keepLines w:val="0"/>
        <w:pageBreakBefore w:val="0"/>
        <w:widowControl w:val="0"/>
        <w:kinsoku/>
        <w:wordWrap/>
        <w:overflowPunct/>
        <w:topLinePunct w:val="0"/>
        <w:autoSpaceDE/>
        <w:autoSpaceDN/>
        <w:bidi w:val="0"/>
        <w:adjustRightInd/>
        <w:snapToGrid/>
        <w:spacing w:line="264" w:lineRule="auto"/>
        <w:ind w:left="0" w:leftChars="0" w:firstLine="480" w:firstLineChars="200"/>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甲乙双方正在就</w:t>
      </w:r>
      <w:r>
        <w:rPr>
          <w:rFonts w:hint="eastAsia" w:ascii="宋体" w:hAnsi="宋体" w:eastAsia="宋体" w:cs="Arial"/>
          <w:kern w:val="0"/>
          <w:sz w:val="24"/>
          <w:szCs w:val="24"/>
          <w:u w:val="single"/>
        </w:rPr>
        <w:t>广东省第一荣军优抚医院</w:t>
      </w:r>
      <w:r>
        <w:rPr>
          <w:rFonts w:hint="eastAsia" w:ascii="宋体" w:hAnsi="宋体" w:eastAsia="宋体" w:cs="Arial"/>
          <w:kern w:val="0"/>
          <w:sz w:val="24"/>
          <w:szCs w:val="24"/>
          <w:u w:val="single"/>
          <w:lang w:eastAsia="zh-CN"/>
        </w:rPr>
        <w:t>网络安全</w:t>
      </w:r>
      <w:r>
        <w:rPr>
          <w:rFonts w:hint="eastAsia" w:ascii="宋体" w:hAnsi="宋体" w:eastAsia="宋体" w:cs="Arial"/>
          <w:kern w:val="0"/>
          <w:sz w:val="24"/>
          <w:szCs w:val="24"/>
          <w:u w:val="single"/>
        </w:rPr>
        <w:t>服务项目</w:t>
      </w:r>
      <w:r>
        <w:rPr>
          <w:rFonts w:hint="eastAsia" w:ascii="宋体" w:hAnsi="宋体" w:eastAsia="宋体" w:cs="Arial"/>
          <w:kern w:val="0"/>
          <w:sz w:val="24"/>
          <w:szCs w:val="24"/>
        </w:rPr>
        <w:t>进行合作，需要取得对方的相关业务和技术资料，为此甲乙双方本着平等自愿、公平诚信的原则，经友好协商签订本协议。</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Arial"/>
          <w:b/>
          <w:bCs/>
          <w:kern w:val="0"/>
          <w:sz w:val="24"/>
          <w:szCs w:val="24"/>
        </w:rPr>
      </w:pPr>
      <w:r>
        <w:rPr>
          <w:rFonts w:hint="eastAsia" w:ascii="宋体" w:hAnsi="宋体" w:eastAsia="宋体" w:cs="Arial"/>
          <w:b/>
          <w:bCs/>
          <w:kern w:val="0"/>
          <w:sz w:val="24"/>
          <w:szCs w:val="24"/>
        </w:rPr>
        <w:t>保密资料的定义：</w:t>
      </w:r>
    </w:p>
    <w:p>
      <w:pPr>
        <w:keepNext w:val="0"/>
        <w:keepLines w:val="0"/>
        <w:pageBreakBefore w:val="0"/>
        <w:widowControl/>
        <w:kinsoku/>
        <w:wordWrap/>
        <w:overflowPunct/>
        <w:topLinePunct w:val="0"/>
        <w:autoSpaceDE/>
        <w:autoSpaceDN/>
        <w:bidi w:val="0"/>
        <w:adjustRightInd/>
        <w:snapToGrid/>
        <w:spacing w:line="264" w:lineRule="auto"/>
        <w:ind w:firstLine="480" w:firstLineChars="200"/>
        <w:textAlignment w:val="auto"/>
        <w:rPr>
          <w:rFonts w:hint="eastAsia" w:ascii="宋体" w:hAnsi="宋体" w:eastAsia="宋体" w:cs="Arial"/>
          <w:kern w:val="0"/>
          <w:sz w:val="24"/>
          <w:szCs w:val="24"/>
        </w:rPr>
      </w:pPr>
      <w:r>
        <w:rPr>
          <w:rFonts w:hint="eastAsia" w:ascii="宋体" w:hAnsi="宋体" w:eastAsia="宋体" w:cs="Arial"/>
          <w:kern w:val="0"/>
          <w:sz w:val="24"/>
          <w:szCs w:val="24"/>
        </w:rPr>
        <w:t>甲乙双方中任何一方披露给对方的与项目有关或因项目产生的任何商业、营销、技术、运营数据或其他性质的材料，无论以何种形式或载于何种载体，无论在披露时是否以口头、图像或以书面方式标明其具有保密性（简称：保密资料），但不包括下述资料和信息：</w:t>
      </w:r>
    </w:p>
    <w:p>
      <w:pPr>
        <w:keepNext w:val="0"/>
        <w:keepLines w:val="0"/>
        <w:pageBreakBefore w:val="0"/>
        <w:widowControl/>
        <w:numPr>
          <w:ilvl w:val="0"/>
          <w:numId w:val="2"/>
        </w:numPr>
        <w:kinsoku/>
        <w:wordWrap/>
        <w:overflowPunct/>
        <w:topLinePunct w:val="0"/>
        <w:autoSpaceDE/>
        <w:autoSpaceDN/>
        <w:bidi w:val="0"/>
        <w:adjustRightInd/>
        <w:snapToGrid/>
        <w:spacing w:line="264" w:lineRule="auto"/>
        <w:ind w:left="0" w:leftChars="0" w:firstLine="480" w:firstLineChars="200"/>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已经或将公布于众的资料，但不包括甲乙双方或其代表违反本规定未经授权所披露的；</w:t>
      </w:r>
    </w:p>
    <w:p>
      <w:pPr>
        <w:keepNext w:val="0"/>
        <w:keepLines w:val="0"/>
        <w:pageBreakBefore w:val="0"/>
        <w:widowControl/>
        <w:numPr>
          <w:ilvl w:val="0"/>
          <w:numId w:val="2"/>
        </w:numPr>
        <w:kinsoku/>
        <w:wordWrap/>
        <w:overflowPunct/>
        <w:topLinePunct w:val="0"/>
        <w:autoSpaceDE/>
        <w:autoSpaceDN/>
        <w:bidi w:val="0"/>
        <w:adjustRightInd/>
        <w:snapToGrid/>
        <w:spacing w:line="264" w:lineRule="auto"/>
        <w:ind w:left="0" w:leftChars="0" w:firstLine="480" w:firstLineChars="200"/>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在任何一方向接受方披露前已为该方知悉的非保密性材料；</w:t>
      </w:r>
    </w:p>
    <w:p>
      <w:pPr>
        <w:keepNext w:val="0"/>
        <w:keepLines w:val="0"/>
        <w:pageBreakBefore w:val="0"/>
        <w:widowControl/>
        <w:numPr>
          <w:ilvl w:val="0"/>
          <w:numId w:val="2"/>
        </w:numPr>
        <w:kinsoku/>
        <w:wordWrap/>
        <w:overflowPunct/>
        <w:topLinePunct w:val="0"/>
        <w:autoSpaceDE/>
        <w:autoSpaceDN/>
        <w:bidi w:val="0"/>
        <w:adjustRightInd/>
        <w:snapToGrid/>
        <w:spacing w:line="264" w:lineRule="auto"/>
        <w:ind w:left="0" w:leftChars="0" w:firstLine="480" w:firstLineChars="200"/>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任何一方提供的非保密资料，接受方在披露这些资料前不知此资料提供者（第三方）已经与本协议下的非保密提供方订立过有约束力的保密协议，且接受方有理由认为资料披露者未被禁止向接受方提供资料。</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Arial"/>
          <w:b/>
          <w:bCs/>
          <w:kern w:val="0"/>
          <w:sz w:val="24"/>
          <w:szCs w:val="24"/>
        </w:rPr>
      </w:pPr>
      <w:r>
        <w:rPr>
          <w:rFonts w:hint="eastAsia" w:ascii="宋体" w:hAnsi="宋体" w:eastAsia="宋体" w:cs="Arial"/>
          <w:b/>
          <w:bCs/>
          <w:kern w:val="0"/>
          <w:sz w:val="24"/>
          <w:szCs w:val="24"/>
        </w:rPr>
        <w:t>保密资料的范围</w:t>
      </w:r>
    </w:p>
    <w:p>
      <w:pPr>
        <w:keepNext w:val="0"/>
        <w:keepLines w:val="0"/>
        <w:pageBreakBefore w:val="0"/>
        <w:widowControl/>
        <w:kinsoku/>
        <w:wordWrap/>
        <w:overflowPunct/>
        <w:topLinePunct w:val="0"/>
        <w:autoSpaceDE/>
        <w:autoSpaceDN/>
        <w:bidi w:val="0"/>
        <w:adjustRightInd/>
        <w:snapToGrid/>
        <w:spacing w:line="264" w:lineRule="auto"/>
        <w:ind w:left="0" w:leftChars="0" w:firstLine="480" w:firstLineChars="200"/>
        <w:textAlignment w:val="auto"/>
        <w:rPr>
          <w:rFonts w:hint="eastAsia" w:ascii="宋体" w:hAnsi="宋体" w:eastAsia="宋体" w:cs="Arial"/>
          <w:kern w:val="0"/>
          <w:sz w:val="24"/>
          <w:szCs w:val="24"/>
        </w:rPr>
      </w:pPr>
      <w:r>
        <w:rPr>
          <w:rFonts w:hint="eastAsia" w:ascii="宋体" w:hAnsi="宋体" w:eastAsia="宋体" w:cs="Arial"/>
          <w:kern w:val="0"/>
          <w:sz w:val="24"/>
          <w:szCs w:val="24"/>
        </w:rPr>
        <w:t>甲、乙双方确认，双方应承担关于该信息系统的等保测评范围包括：</w:t>
      </w:r>
    </w:p>
    <w:p>
      <w:pPr>
        <w:keepNext w:val="0"/>
        <w:keepLines w:val="0"/>
        <w:pageBreakBefore w:val="0"/>
        <w:widowControl/>
        <w:numPr>
          <w:ilvl w:val="0"/>
          <w:numId w:val="3"/>
        </w:numPr>
        <w:kinsoku/>
        <w:wordWrap/>
        <w:overflowPunct/>
        <w:topLinePunct w:val="0"/>
        <w:autoSpaceDE/>
        <w:autoSpaceDN/>
        <w:bidi w:val="0"/>
        <w:adjustRightInd/>
        <w:snapToGrid/>
        <w:spacing w:line="264" w:lineRule="auto"/>
        <w:ind w:left="0" w:leftChars="0" w:firstLine="480" w:firstLineChars="200"/>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技术信息：包括技术方案、设计要求、服务内容、实现方法、运作流程、技术指标、软件系统、数据库、运行环境、作业平台、测试结果、使用手册、技术文档、涉及技术秘密的业务函电等等；</w:t>
      </w:r>
    </w:p>
    <w:p>
      <w:pPr>
        <w:keepNext w:val="0"/>
        <w:keepLines w:val="0"/>
        <w:pageBreakBefore w:val="0"/>
        <w:widowControl/>
        <w:numPr>
          <w:ilvl w:val="0"/>
          <w:numId w:val="3"/>
        </w:numPr>
        <w:kinsoku/>
        <w:wordWrap/>
        <w:overflowPunct/>
        <w:topLinePunct w:val="0"/>
        <w:autoSpaceDE/>
        <w:autoSpaceDN/>
        <w:bidi w:val="0"/>
        <w:adjustRightInd/>
        <w:snapToGrid/>
        <w:spacing w:line="264" w:lineRule="auto"/>
        <w:ind w:left="0" w:leftChars="0" w:firstLine="480" w:firstLineChars="200"/>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经营信息：包括客户名称、客户地址及联系方式、需求信息、营销计划、采购资料、定价政策、进货渠道、产销策略、招投标中的标底及标书内容、项目组人员构成、费用预算、利润情况及不公开的财务资料等等；</w:t>
      </w:r>
    </w:p>
    <w:p>
      <w:pPr>
        <w:keepNext w:val="0"/>
        <w:keepLines w:val="0"/>
        <w:pageBreakBefore w:val="0"/>
        <w:widowControl/>
        <w:numPr>
          <w:ilvl w:val="0"/>
          <w:numId w:val="3"/>
        </w:numPr>
        <w:kinsoku/>
        <w:wordWrap/>
        <w:overflowPunct/>
        <w:topLinePunct w:val="0"/>
        <w:autoSpaceDE/>
        <w:autoSpaceDN/>
        <w:bidi w:val="0"/>
        <w:adjustRightInd/>
        <w:snapToGrid/>
        <w:spacing w:line="264" w:lineRule="auto"/>
        <w:ind w:left="0" w:leftChars="0" w:firstLine="480" w:firstLineChars="200"/>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其他事项：甲方依照法律规定和有关协议（如技术合同等）的约定要求乙方承担保密义务的其他事项。</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Arial"/>
          <w:b/>
          <w:bCs/>
          <w:kern w:val="0"/>
          <w:sz w:val="24"/>
          <w:szCs w:val="24"/>
        </w:rPr>
      </w:pPr>
      <w:r>
        <w:rPr>
          <w:rFonts w:hint="eastAsia" w:ascii="宋体" w:hAnsi="宋体" w:eastAsia="宋体" w:cs="Arial"/>
          <w:b/>
          <w:bCs/>
          <w:kern w:val="0"/>
          <w:sz w:val="24"/>
          <w:szCs w:val="24"/>
        </w:rPr>
        <w:t>双方责任义务</w:t>
      </w:r>
    </w:p>
    <w:p>
      <w:pPr>
        <w:keepNext w:val="0"/>
        <w:keepLines w:val="0"/>
        <w:pageBreakBefore w:val="0"/>
        <w:widowControl/>
        <w:numPr>
          <w:ilvl w:val="0"/>
          <w:numId w:val="4"/>
        </w:numPr>
        <w:kinsoku/>
        <w:wordWrap/>
        <w:overflowPunct/>
        <w:topLinePunct w:val="0"/>
        <w:autoSpaceDE/>
        <w:autoSpaceDN/>
        <w:bidi w:val="0"/>
        <w:adjustRightInd/>
        <w:snapToGrid/>
        <w:spacing w:line="264" w:lineRule="auto"/>
        <w:ind w:left="0" w:leftChars="0" w:firstLine="480" w:firstLineChars="200"/>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甲乙双方互为保密资料的提供方和接收方，负有保密义务，承担保密责任。</w:t>
      </w:r>
    </w:p>
    <w:p>
      <w:pPr>
        <w:keepNext w:val="0"/>
        <w:keepLines w:val="0"/>
        <w:pageBreakBefore w:val="0"/>
        <w:widowControl/>
        <w:numPr>
          <w:ilvl w:val="0"/>
          <w:numId w:val="4"/>
        </w:numPr>
        <w:kinsoku/>
        <w:wordWrap/>
        <w:overflowPunct/>
        <w:topLinePunct w:val="0"/>
        <w:autoSpaceDE/>
        <w:autoSpaceDN/>
        <w:bidi w:val="0"/>
        <w:adjustRightInd/>
        <w:snapToGrid/>
        <w:spacing w:line="264" w:lineRule="auto"/>
        <w:ind w:left="0" w:leftChars="0" w:firstLine="480" w:firstLineChars="200"/>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甲乙双方中任何一方未经对方书面同意不得向第三方公开和披露任何保密资料或以其他方式使用保密资料。双方也许促使各自达标不想第三方公开或披露任何保密资料或以其它方式使用保密资料。除非披露、公开或利用保密资料是双方从事或开展合作项目工作在通常情况下应承担的义务（包括双方今后依法律或合同应承担的义务）适当所需的。</w:t>
      </w:r>
    </w:p>
    <w:p>
      <w:pPr>
        <w:keepNext w:val="0"/>
        <w:keepLines w:val="0"/>
        <w:pageBreakBefore w:val="0"/>
        <w:widowControl/>
        <w:numPr>
          <w:ilvl w:val="0"/>
          <w:numId w:val="4"/>
        </w:numPr>
        <w:kinsoku/>
        <w:wordWrap/>
        <w:overflowPunct/>
        <w:topLinePunct w:val="0"/>
        <w:autoSpaceDE/>
        <w:autoSpaceDN/>
        <w:bidi w:val="0"/>
        <w:adjustRightInd/>
        <w:snapToGrid/>
        <w:spacing w:line="264" w:lineRule="auto"/>
        <w:ind w:left="0" w:leftChars="0" w:firstLine="480" w:firstLineChars="200"/>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甲乙双方均须把保密资料的接触范围严格限制在因本协议规定目的而需接触保密资料的各自负责任的代表的范围内。</w:t>
      </w:r>
    </w:p>
    <w:p>
      <w:pPr>
        <w:keepNext w:val="0"/>
        <w:keepLines w:val="0"/>
        <w:pageBreakBefore w:val="0"/>
        <w:widowControl/>
        <w:numPr>
          <w:ilvl w:val="0"/>
          <w:numId w:val="4"/>
        </w:numPr>
        <w:kinsoku/>
        <w:wordWrap/>
        <w:overflowPunct/>
        <w:topLinePunct w:val="0"/>
        <w:autoSpaceDE/>
        <w:autoSpaceDN/>
        <w:bidi w:val="0"/>
        <w:adjustRightInd/>
        <w:snapToGrid/>
        <w:spacing w:line="264" w:lineRule="auto"/>
        <w:ind w:left="0" w:leftChars="0" w:firstLine="480" w:firstLineChars="200"/>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除经过双方书面同意而必要进行披露外，任何一方不得将含有对方或其代表披露的保密资料复印或复制或者有意无意地提供给他人。</w:t>
      </w:r>
    </w:p>
    <w:p>
      <w:pPr>
        <w:keepNext w:val="0"/>
        <w:keepLines w:val="0"/>
        <w:pageBreakBefore w:val="0"/>
        <w:widowControl/>
        <w:numPr>
          <w:ilvl w:val="0"/>
          <w:numId w:val="4"/>
        </w:numPr>
        <w:kinsoku/>
        <w:wordWrap/>
        <w:overflowPunct/>
        <w:topLinePunct w:val="0"/>
        <w:autoSpaceDE/>
        <w:autoSpaceDN/>
        <w:bidi w:val="0"/>
        <w:adjustRightInd/>
        <w:snapToGrid/>
        <w:spacing w:line="264" w:lineRule="auto"/>
        <w:ind w:left="0" w:leftChars="0" w:firstLine="480" w:firstLineChars="200"/>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如果合作项目不再继续进行或乙方因故退出此项目，经甲方在任何时候提出书面要求，乙方应当、并应促使其代表在五个工作日内销毁或向甲方返还其占有的或控制的全部保密资料以及包含或体现了保密材料的全部文件和其它材料并连同全部副本。但是在不违反本协议其它条款的条件下，双方可仅为本协议第四条之目的，保留上述文件或材料的复制件一份。</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Arial"/>
          <w:b/>
          <w:bCs/>
          <w:kern w:val="0"/>
          <w:sz w:val="24"/>
          <w:szCs w:val="24"/>
        </w:rPr>
      </w:pPr>
      <w:r>
        <w:rPr>
          <w:rFonts w:hint="eastAsia" w:ascii="宋体" w:hAnsi="宋体" w:eastAsia="宋体" w:cs="Arial"/>
          <w:b/>
          <w:bCs/>
          <w:kern w:val="0"/>
          <w:sz w:val="24"/>
          <w:szCs w:val="24"/>
        </w:rPr>
        <w:t>保密资料的保存和使用</w:t>
      </w:r>
    </w:p>
    <w:p>
      <w:pPr>
        <w:keepNext w:val="0"/>
        <w:keepLines w:val="0"/>
        <w:pageBreakBefore w:val="0"/>
        <w:widowControl/>
        <w:numPr>
          <w:ilvl w:val="0"/>
          <w:numId w:val="5"/>
        </w:numPr>
        <w:kinsoku/>
        <w:wordWrap/>
        <w:overflowPunct/>
        <w:topLinePunct w:val="0"/>
        <w:autoSpaceDE/>
        <w:autoSpaceDN/>
        <w:bidi w:val="0"/>
        <w:adjustRightInd/>
        <w:snapToGrid/>
        <w:spacing w:line="264" w:lineRule="auto"/>
        <w:ind w:left="0" w:leftChars="0" w:firstLine="480" w:firstLineChars="200"/>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甲乙双方中的任何一方有权保存必要的保密资料，以便在履行其在合作项目工作中所承担的法律、规章与义务时使用该部分保密资料。</w:t>
      </w:r>
    </w:p>
    <w:p>
      <w:pPr>
        <w:keepNext w:val="0"/>
        <w:keepLines w:val="0"/>
        <w:pageBreakBefore w:val="0"/>
        <w:widowControl/>
        <w:numPr>
          <w:ilvl w:val="0"/>
          <w:numId w:val="5"/>
        </w:numPr>
        <w:kinsoku/>
        <w:wordWrap/>
        <w:overflowPunct/>
        <w:topLinePunct w:val="0"/>
        <w:autoSpaceDE/>
        <w:autoSpaceDN/>
        <w:bidi w:val="0"/>
        <w:adjustRightInd/>
        <w:snapToGrid/>
        <w:spacing w:line="264" w:lineRule="auto"/>
        <w:ind w:left="0" w:leftChars="0" w:firstLine="480" w:firstLineChars="200"/>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甲乙双方有权使用保密资料对任何针对接受方或其代表的与本协议项目及其事务相关的索赔、诉讼、司法程序及指控进行抗辩，或者对本协议项目及其事务相关的传唤、传票或其他法律程序做出答复。</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Arial"/>
          <w:b/>
          <w:bCs/>
          <w:kern w:val="0"/>
          <w:sz w:val="24"/>
          <w:szCs w:val="24"/>
        </w:rPr>
      </w:pPr>
      <w:r>
        <w:rPr>
          <w:rFonts w:hint="eastAsia" w:ascii="宋体" w:hAnsi="宋体" w:eastAsia="宋体" w:cs="Arial"/>
          <w:b/>
          <w:bCs/>
          <w:kern w:val="0"/>
          <w:sz w:val="24"/>
          <w:szCs w:val="24"/>
        </w:rPr>
        <w:t>违约和赔偿</w:t>
      </w:r>
    </w:p>
    <w:p>
      <w:pPr>
        <w:keepNext w:val="0"/>
        <w:keepLines w:val="0"/>
        <w:pageBreakBefore w:val="0"/>
        <w:widowControl/>
        <w:numPr>
          <w:ilvl w:val="0"/>
          <w:numId w:val="6"/>
        </w:numPr>
        <w:kinsoku/>
        <w:wordWrap/>
        <w:overflowPunct/>
        <w:topLinePunct w:val="0"/>
        <w:autoSpaceDE/>
        <w:autoSpaceDN/>
        <w:bidi w:val="0"/>
        <w:adjustRightInd/>
        <w:snapToGrid/>
        <w:spacing w:line="264" w:lineRule="auto"/>
        <w:ind w:left="0" w:leftChars="0" w:firstLine="480" w:firstLineChars="200"/>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任何一方有违反本协议的情形，无论故意与过失，应当立即停止侵害，并在第一时间采取一切必要措施防止保密信息的扩撒，尽最大可能消除影响。</w:t>
      </w:r>
    </w:p>
    <w:p>
      <w:pPr>
        <w:keepNext w:val="0"/>
        <w:keepLines w:val="0"/>
        <w:pageBreakBefore w:val="0"/>
        <w:widowControl/>
        <w:numPr>
          <w:ilvl w:val="0"/>
          <w:numId w:val="6"/>
        </w:numPr>
        <w:kinsoku/>
        <w:wordWrap/>
        <w:overflowPunct/>
        <w:topLinePunct w:val="0"/>
        <w:autoSpaceDE/>
        <w:autoSpaceDN/>
        <w:bidi w:val="0"/>
        <w:adjustRightInd/>
        <w:snapToGrid/>
        <w:spacing w:line="264" w:lineRule="auto"/>
        <w:ind w:left="0" w:leftChars="0" w:firstLine="480" w:firstLineChars="200"/>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一方违反本协议的一方，应承担违约责任，违约方应向守约方支付违约金，违约金的具体数额由双方协商确定。</w:t>
      </w:r>
    </w:p>
    <w:p>
      <w:pPr>
        <w:keepNext w:val="0"/>
        <w:keepLines w:val="0"/>
        <w:pageBreakBefore w:val="0"/>
        <w:widowControl/>
        <w:numPr>
          <w:ilvl w:val="0"/>
          <w:numId w:val="6"/>
        </w:numPr>
        <w:kinsoku/>
        <w:wordWrap/>
        <w:overflowPunct/>
        <w:topLinePunct w:val="0"/>
        <w:autoSpaceDE/>
        <w:autoSpaceDN/>
        <w:bidi w:val="0"/>
        <w:adjustRightInd/>
        <w:snapToGrid/>
        <w:spacing w:line="264" w:lineRule="auto"/>
        <w:ind w:left="0" w:leftChars="0" w:firstLine="480" w:firstLineChars="200"/>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上述违约金数额并不影响受损害方向违约方要求损害赔偿。该赔偿以受损害方实际遭受的损失为限。</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Arial"/>
          <w:b/>
          <w:bCs/>
          <w:kern w:val="0"/>
          <w:sz w:val="24"/>
          <w:szCs w:val="24"/>
        </w:rPr>
      </w:pPr>
      <w:r>
        <w:rPr>
          <w:rFonts w:hint="eastAsia" w:ascii="宋体" w:hAnsi="宋体" w:eastAsia="宋体" w:cs="Arial"/>
          <w:b/>
          <w:bCs/>
          <w:kern w:val="0"/>
          <w:sz w:val="24"/>
          <w:szCs w:val="24"/>
        </w:rPr>
        <w:t>适用法律和争议解决</w:t>
      </w:r>
    </w:p>
    <w:p>
      <w:pPr>
        <w:keepNext w:val="0"/>
        <w:keepLines w:val="0"/>
        <w:pageBreakBefore w:val="0"/>
        <w:widowControl/>
        <w:numPr>
          <w:ilvl w:val="0"/>
          <w:numId w:val="7"/>
        </w:numPr>
        <w:kinsoku/>
        <w:wordWrap/>
        <w:overflowPunct/>
        <w:topLinePunct w:val="0"/>
        <w:autoSpaceDE/>
        <w:autoSpaceDN/>
        <w:bidi w:val="0"/>
        <w:adjustRightInd/>
        <w:snapToGrid/>
        <w:spacing w:line="264" w:lineRule="auto"/>
        <w:ind w:left="0" w:leftChars="0" w:firstLine="480" w:firstLineChars="200"/>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keepNext w:val="0"/>
        <w:keepLines w:val="0"/>
        <w:pageBreakBefore w:val="0"/>
        <w:widowControl/>
        <w:numPr>
          <w:ilvl w:val="0"/>
          <w:numId w:val="7"/>
        </w:numPr>
        <w:kinsoku/>
        <w:wordWrap/>
        <w:overflowPunct/>
        <w:topLinePunct w:val="0"/>
        <w:autoSpaceDE/>
        <w:autoSpaceDN/>
        <w:bidi w:val="0"/>
        <w:adjustRightInd/>
        <w:snapToGrid/>
        <w:spacing w:line="264" w:lineRule="auto"/>
        <w:ind w:left="0" w:leftChars="0" w:firstLine="480" w:firstLineChars="200"/>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因执行本协议而发生纠纷，可以由双方协商解决或者共同委托双方信任的第三方调解。协商、调解不成或者一方不愿意协商、调解的，任何一方都有提起诉讼的权利。</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Arial"/>
          <w:b/>
          <w:bCs/>
          <w:kern w:val="0"/>
          <w:sz w:val="24"/>
          <w:szCs w:val="24"/>
        </w:rPr>
      </w:pPr>
      <w:r>
        <w:rPr>
          <w:rFonts w:hint="eastAsia" w:ascii="宋体" w:hAnsi="宋体" w:eastAsia="宋体" w:cs="Arial"/>
          <w:b/>
          <w:bCs/>
          <w:kern w:val="0"/>
          <w:sz w:val="24"/>
          <w:szCs w:val="24"/>
        </w:rPr>
        <w:t>协议变更 </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Chars="0" w:firstLine="480" w:firstLineChars="200"/>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本协议的任何修改必须经过双方的书面同意</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Arial"/>
          <w:b/>
          <w:bCs/>
          <w:kern w:val="0"/>
          <w:sz w:val="24"/>
          <w:szCs w:val="24"/>
        </w:rPr>
      </w:pPr>
      <w:r>
        <w:rPr>
          <w:rFonts w:hint="eastAsia" w:ascii="宋体" w:hAnsi="宋体" w:eastAsia="宋体" w:cs="Arial"/>
          <w:b/>
          <w:bCs/>
          <w:kern w:val="0"/>
          <w:sz w:val="24"/>
          <w:szCs w:val="24"/>
        </w:rPr>
        <w:t>协议有效期</w:t>
      </w:r>
    </w:p>
    <w:p>
      <w:pPr>
        <w:keepNext w:val="0"/>
        <w:keepLines w:val="0"/>
        <w:pageBreakBefore w:val="0"/>
        <w:widowControl/>
        <w:numPr>
          <w:ilvl w:val="0"/>
          <w:numId w:val="0"/>
        </w:numPr>
        <w:kinsoku/>
        <w:wordWrap/>
        <w:overflowPunct/>
        <w:topLinePunct w:val="0"/>
        <w:autoSpaceDE/>
        <w:autoSpaceDN/>
        <w:bidi w:val="0"/>
        <w:adjustRightInd/>
        <w:snapToGrid/>
        <w:spacing w:line="264" w:lineRule="auto"/>
        <w:ind w:left="0" w:leftChars="0" w:firstLine="480" w:firstLineChars="200"/>
        <w:textAlignment w:val="auto"/>
        <w:rPr>
          <w:rFonts w:hint="eastAsia" w:ascii="宋体" w:hAnsi="宋体" w:eastAsia="宋体" w:cs="Arial"/>
          <w:kern w:val="0"/>
          <w:sz w:val="24"/>
          <w:szCs w:val="24"/>
        </w:rPr>
      </w:pPr>
      <w:r>
        <w:rPr>
          <w:rFonts w:hint="eastAsia" w:ascii="宋体" w:hAnsi="宋体" w:eastAsia="宋体" w:cs="Arial"/>
          <w:kern w:val="0"/>
          <w:sz w:val="24"/>
          <w:szCs w:val="24"/>
          <w:lang w:eastAsia="zh-CN"/>
        </w:rPr>
        <w:t>甲、</w:t>
      </w:r>
      <w:r>
        <w:rPr>
          <w:rFonts w:hint="eastAsia" w:ascii="宋体" w:hAnsi="宋体" w:eastAsia="宋体" w:cs="Arial"/>
          <w:kern w:val="0"/>
          <w:sz w:val="24"/>
          <w:szCs w:val="24"/>
        </w:rPr>
        <w:t>乙双方确认，本协议有效期自甲乙双方签字盖章之日起，于甲方关于该信息系统的商业秘密公开时止。</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Arial"/>
          <w:b/>
          <w:bCs/>
          <w:kern w:val="0"/>
          <w:sz w:val="24"/>
          <w:szCs w:val="24"/>
        </w:rPr>
      </w:pPr>
      <w:r>
        <w:rPr>
          <w:rFonts w:hint="eastAsia" w:ascii="宋体" w:hAnsi="宋体" w:eastAsia="宋体" w:cs="Arial"/>
          <w:b/>
          <w:bCs/>
          <w:kern w:val="0"/>
          <w:sz w:val="24"/>
          <w:szCs w:val="24"/>
        </w:rPr>
        <w:t>一式两份，甲乙双方各执一份。</w:t>
      </w:r>
    </w:p>
    <w:tbl>
      <w:tblPr>
        <w:tblStyle w:val="8"/>
        <w:tblpPr w:leftFromText="180" w:rightFromText="180" w:vertAnchor="text" w:horzAnchor="page" w:tblpX="1612" w:tblpY="187"/>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39"/>
        <w:gridCol w:w="4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12" w:type="pct"/>
            <w:noWrap w:val="0"/>
            <w:vAlign w:val="center"/>
          </w:tcPr>
          <w:p>
            <w:pPr>
              <w:pStyle w:val="3"/>
              <w:spacing w:line="240" w:lineRule="auto"/>
              <w:jc w:val="left"/>
              <w:rPr>
                <w:rFonts w:hint="eastAsia" w:ascii="宋体" w:hAnsi="宋体" w:eastAsia="宋体" w:cs="宋体"/>
                <w:sz w:val="24"/>
              </w:rPr>
            </w:pPr>
            <w:r>
              <w:rPr>
                <w:rFonts w:hint="eastAsia" w:ascii="宋体" w:hAnsi="宋体" w:eastAsia="宋体" w:cs="宋体"/>
                <w:sz w:val="24"/>
              </w:rPr>
              <w:t>甲方：广东省第一荣军优抚医院</w:t>
            </w:r>
          </w:p>
        </w:tc>
        <w:tc>
          <w:tcPr>
            <w:tcW w:w="2687" w:type="pct"/>
            <w:noWrap w:val="0"/>
            <w:vAlign w:val="center"/>
          </w:tcPr>
          <w:p>
            <w:pPr>
              <w:pStyle w:val="3"/>
              <w:spacing w:line="240" w:lineRule="auto"/>
              <w:jc w:val="left"/>
              <w:rPr>
                <w:rFonts w:hint="eastAsia" w:ascii="宋体" w:hAnsi="宋体" w:eastAsia="宋体" w:cs="宋体"/>
                <w:sz w:val="24"/>
                <w:lang w:eastAsia="zh-CN"/>
              </w:rPr>
            </w:pPr>
            <w:r>
              <w:rPr>
                <w:rFonts w:hint="eastAsia" w:ascii="宋体" w:hAnsi="宋体" w:eastAsia="宋体" w:cs="宋体"/>
                <w:sz w:val="24"/>
              </w:rPr>
              <w:t>乙方：</w:t>
            </w:r>
            <w:r>
              <w:rPr>
                <w:rFonts w:hint="eastAsia" w:ascii="宋体" w:hAnsi="宋体" w:eastAsia="宋体" w:cs="宋体"/>
                <w:sz w:val="24"/>
                <w:lang w:val="en-US" w:eastAsia="zh-CN"/>
              </w:rPr>
              <w:t>XX</w:t>
            </w:r>
            <w:r>
              <w:rPr>
                <w:rFonts w:hint="eastAsia" w:ascii="宋体" w:hAnsi="宋体" w:eastAsia="宋体" w:cs="宋体"/>
                <w:sz w:val="24"/>
                <w:lang w:eastAsia="zh-CN"/>
              </w:rPr>
              <w:t>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312" w:type="pct"/>
            <w:noWrap w:val="0"/>
            <w:vAlign w:val="bottom"/>
          </w:tcPr>
          <w:p>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rPr>
            </w:pPr>
            <w:r>
              <w:rPr>
                <w:rFonts w:hint="eastAsia" w:ascii="宋体" w:hAnsi="宋体" w:eastAsia="宋体" w:cs="宋体"/>
                <w:sz w:val="24"/>
              </w:rPr>
              <w:t>甲方：</w:t>
            </w:r>
          </w:p>
        </w:tc>
        <w:tc>
          <w:tcPr>
            <w:tcW w:w="2687" w:type="pct"/>
            <w:noWrap w:val="0"/>
            <w:vAlign w:val="bottom"/>
          </w:tcPr>
          <w:p>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rPr>
            </w:pPr>
          </w:p>
          <w:p>
            <w:pPr>
              <w:pStyle w:val="3"/>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rPr>
            </w:pPr>
            <w:r>
              <w:rPr>
                <w:rFonts w:hint="eastAsia" w:ascii="宋体" w:hAnsi="宋体" w:eastAsia="宋体" w:cs="宋体"/>
                <w:sz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2312" w:type="pct"/>
            <w:noWrap w:val="0"/>
            <w:vAlign w:val="bottom"/>
          </w:tcPr>
          <w:p>
            <w:pPr>
              <w:pStyle w:val="3"/>
              <w:spacing w:line="240" w:lineRule="auto"/>
              <w:jc w:val="left"/>
              <w:rPr>
                <w:rFonts w:hint="eastAsia" w:ascii="宋体" w:hAnsi="宋体" w:eastAsia="宋体" w:cs="宋体"/>
                <w:spacing w:val="-12"/>
                <w:sz w:val="24"/>
                <w:szCs w:val="24"/>
              </w:rPr>
            </w:pPr>
            <w:r>
              <w:rPr>
                <w:rFonts w:hint="eastAsia" w:ascii="宋体" w:hAnsi="宋体" w:eastAsia="宋体" w:cs="宋体"/>
                <w:spacing w:val="-12"/>
                <w:sz w:val="24"/>
                <w:szCs w:val="24"/>
              </w:rPr>
              <w:t>日期：     年    月    日</w:t>
            </w:r>
          </w:p>
        </w:tc>
        <w:tc>
          <w:tcPr>
            <w:tcW w:w="2687" w:type="pct"/>
            <w:noWrap w:val="0"/>
            <w:vAlign w:val="bottom"/>
          </w:tcPr>
          <w:p>
            <w:pPr>
              <w:pStyle w:val="3"/>
              <w:spacing w:line="240" w:lineRule="auto"/>
              <w:jc w:val="left"/>
              <w:rPr>
                <w:rFonts w:hint="eastAsia" w:ascii="宋体" w:hAnsi="宋体" w:eastAsia="宋体" w:cs="宋体"/>
                <w:spacing w:val="-12"/>
                <w:sz w:val="24"/>
                <w:szCs w:val="24"/>
              </w:rPr>
            </w:pPr>
            <w:r>
              <w:rPr>
                <w:rFonts w:hint="eastAsia" w:ascii="宋体" w:hAnsi="宋体" w:eastAsia="宋体" w:cs="宋体"/>
                <w:spacing w:val="-12"/>
                <w:sz w:val="24"/>
                <w:szCs w:val="24"/>
              </w:rPr>
              <w:t>日期：     年    月    日</w:t>
            </w:r>
          </w:p>
        </w:tc>
      </w:tr>
    </w:tbl>
    <w:p>
      <w:pPr>
        <w:rPr>
          <w:rFonts w:hint="eastAsia"/>
        </w:rPr>
      </w:pPr>
    </w:p>
    <w:p>
      <w:pPr>
        <w:pStyle w:val="2"/>
        <w:rPr>
          <w:rFonts w:hint="eastAsia" w:ascii="宋体" w:hAnsi="宋体" w:eastAsia="宋体" w:cs="Times New Roman"/>
          <w:szCs w:val="21"/>
        </w:rPr>
      </w:pPr>
    </w:p>
    <w:p>
      <w:pPr>
        <w:pStyle w:val="2"/>
        <w:rPr>
          <w:rFonts w:hint="default" w:ascii="Times New Roman" w:hAnsi="Times New Roman" w:eastAsia="宋体" w:cs="Times New Roman"/>
          <w:sz w:val="22"/>
          <w:szCs w:val="22"/>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Monospaced Number">
    <w:altName w:val="Segoe Print"/>
    <w:panose1 w:val="00000000000000000000"/>
    <w:charset w:val="00"/>
    <w:family w:val="auto"/>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CFC"/>
    <w:multiLevelType w:val="multilevel"/>
    <w:tmpl w:val="03324CFC"/>
    <w:lvl w:ilvl="0" w:tentative="0">
      <w:start w:val="1"/>
      <w:numFmt w:val="chineseCountingThousand"/>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
    <w:nsid w:val="20911882"/>
    <w:multiLevelType w:val="multilevel"/>
    <w:tmpl w:val="20911882"/>
    <w:lvl w:ilvl="0" w:tentative="0">
      <w:start w:val="1"/>
      <w:numFmt w:val="japaneseCounting"/>
      <w:lvlText w:val="%1、"/>
      <w:lvlJc w:val="left"/>
      <w:pPr>
        <w:ind w:left="1351" w:hanging="500"/>
      </w:pPr>
      <w:rPr>
        <w:b/>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2">
    <w:nsid w:val="281B699D"/>
    <w:multiLevelType w:val="multilevel"/>
    <w:tmpl w:val="281B699D"/>
    <w:lvl w:ilvl="0" w:tentative="0">
      <w:start w:val="1"/>
      <w:numFmt w:val="chineseCountingThousand"/>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3">
    <w:nsid w:val="435C693A"/>
    <w:multiLevelType w:val="multilevel"/>
    <w:tmpl w:val="435C693A"/>
    <w:lvl w:ilvl="0" w:tentative="0">
      <w:start w:val="1"/>
      <w:numFmt w:val="chineseCountingThousand"/>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4">
    <w:nsid w:val="45825BA8"/>
    <w:multiLevelType w:val="multilevel"/>
    <w:tmpl w:val="45825BA8"/>
    <w:lvl w:ilvl="0" w:tentative="0">
      <w:start w:val="1"/>
      <w:numFmt w:val="chineseCountingThousand"/>
      <w:lvlText w:val="(%1)"/>
      <w:lvlJc w:val="left"/>
      <w:pPr>
        <w:ind w:left="1270"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5">
    <w:nsid w:val="60957340"/>
    <w:multiLevelType w:val="multilevel"/>
    <w:tmpl w:val="60957340"/>
    <w:lvl w:ilvl="0" w:tentative="0">
      <w:start w:val="1"/>
      <w:numFmt w:val="chineseCountingThousand"/>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6">
    <w:nsid w:val="732356DE"/>
    <w:multiLevelType w:val="multilevel"/>
    <w:tmpl w:val="732356DE"/>
    <w:lvl w:ilvl="0" w:tentative="0">
      <w:start w:val="1"/>
      <w:numFmt w:val="chineseCountingThousand"/>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905B5"/>
    <w:rsid w:val="37E90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Plain Text"/>
    <w:basedOn w:val="1"/>
    <w:qFormat/>
    <w:uiPriority w:val="0"/>
    <w:rPr>
      <w:rFonts w:ascii="Courier New" w:hAnsi="Courier New"/>
      <w:kern w:val="15"/>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index heading"/>
    <w:basedOn w:val="1"/>
    <w:next w:val="6"/>
    <w:qFormat/>
    <w:uiPriority w:val="0"/>
    <w:rPr>
      <w:szCs w:val="20"/>
    </w:rPr>
  </w:style>
  <w:style w:type="paragraph" w:styleId="6">
    <w:name w:val="index 1"/>
    <w:basedOn w:val="1"/>
    <w:next w:val="1"/>
    <w:unhideWhenUsed/>
    <w:qFormat/>
    <w:uiPriority w:val="99"/>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2026-03-26T09:17:00Z</dcterms:created>
  <dc:creator>姜南</dc:creator>
  <cp:lastModifiedBy>姜南</cp:lastModifiedBy>
  <dcterms:modified xsi:type="dcterms:W3CDTF">2026-03-26T09:20:42Z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