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6CA5A">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附件1：</w:t>
      </w:r>
    </w:p>
    <w:tbl>
      <w:tblPr>
        <w:tblStyle w:val="6"/>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192"/>
        <w:gridCol w:w="6465"/>
        <w:gridCol w:w="1038"/>
      </w:tblGrid>
      <w:tr w14:paraId="5525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309FC8D1">
            <w:pPr>
              <w:snapToGrid w:val="0"/>
              <w:spacing w:line="360" w:lineRule="auto"/>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序号</w:t>
            </w:r>
          </w:p>
        </w:tc>
        <w:tc>
          <w:tcPr>
            <w:tcW w:w="1058" w:type="pct"/>
            <w:noWrap w:val="0"/>
            <w:vAlign w:val="center"/>
          </w:tcPr>
          <w:p w14:paraId="7979B04D">
            <w:pPr>
              <w:snapToGrid w:val="0"/>
              <w:spacing w:line="360" w:lineRule="auto"/>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评审因素</w:t>
            </w:r>
          </w:p>
        </w:tc>
        <w:tc>
          <w:tcPr>
            <w:tcW w:w="3120" w:type="pct"/>
            <w:noWrap w:val="0"/>
            <w:vAlign w:val="center"/>
          </w:tcPr>
          <w:p w14:paraId="29876FAC">
            <w:pPr>
              <w:snapToGrid w:val="0"/>
              <w:spacing w:line="360" w:lineRule="auto"/>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评分细则</w:t>
            </w:r>
          </w:p>
        </w:tc>
        <w:tc>
          <w:tcPr>
            <w:tcW w:w="501" w:type="pct"/>
            <w:noWrap w:val="0"/>
            <w:vAlign w:val="center"/>
          </w:tcPr>
          <w:p w14:paraId="5DAD81DC">
            <w:pPr>
              <w:snapToGrid w:val="0"/>
              <w:spacing w:line="360" w:lineRule="auto"/>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分值</w:t>
            </w:r>
          </w:p>
          <w:p w14:paraId="4C0A5445">
            <w:pPr>
              <w:snapToGrid w:val="0"/>
              <w:spacing w:line="360" w:lineRule="auto"/>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（分）</w:t>
            </w:r>
          </w:p>
        </w:tc>
      </w:tr>
      <w:tr w14:paraId="78AF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78AA3D0A">
            <w:pPr>
              <w:snapToGrid w:val="0"/>
              <w:spacing w:line="240" w:lineRule="auto"/>
              <w:ind w:left="0" w:leftChars="0" w:right="0" w:rightChars="0"/>
              <w:jc w:val="center"/>
              <w:rPr>
                <w:rFonts w:hint="default" w:ascii="Times New Roman" w:hAnsi="Times New Roman" w:eastAsia="宋体" w:cs="Times New Roman"/>
                <w:b/>
                <w:sz w:val="24"/>
              </w:rPr>
            </w:pPr>
            <w:r>
              <w:rPr>
                <w:rFonts w:hint="default" w:ascii="Times New Roman" w:hAnsi="Times New Roman" w:eastAsia="宋体" w:cs="Times New Roman"/>
                <w:b/>
                <w:sz w:val="24"/>
              </w:rPr>
              <w:t>一</w:t>
            </w:r>
          </w:p>
        </w:tc>
        <w:tc>
          <w:tcPr>
            <w:tcW w:w="4679" w:type="pct"/>
            <w:gridSpan w:val="3"/>
            <w:noWrap w:val="0"/>
            <w:vAlign w:val="center"/>
          </w:tcPr>
          <w:p w14:paraId="1088F0DC">
            <w:pPr>
              <w:snapToGrid w:val="0"/>
              <w:spacing w:line="240" w:lineRule="auto"/>
              <w:ind w:left="0" w:leftChars="0" w:right="0" w:rightChars="0"/>
              <w:jc w:val="center"/>
              <w:rPr>
                <w:rFonts w:hint="default" w:ascii="Times New Roman" w:hAnsi="Times New Roman" w:eastAsia="宋体" w:cs="Times New Roman"/>
                <w:b/>
                <w:sz w:val="24"/>
              </w:rPr>
            </w:pPr>
            <w:r>
              <w:rPr>
                <w:rFonts w:hint="default" w:ascii="Times New Roman" w:hAnsi="Times New Roman" w:eastAsia="宋体" w:cs="Times New Roman"/>
                <w:b/>
                <w:sz w:val="24"/>
              </w:rPr>
              <w:t>技术部分（合计55分）</w:t>
            </w:r>
          </w:p>
        </w:tc>
      </w:tr>
      <w:tr w14:paraId="5109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2FE7B548">
            <w:pPr>
              <w:pStyle w:val="8"/>
              <w:numPr>
                <w:ilvl w:val="0"/>
                <w:numId w:val="0"/>
              </w:numPr>
              <w:autoSpaceDE/>
              <w:autoSpaceDN/>
              <w:snapToGrid w:val="0"/>
              <w:spacing w:line="360" w:lineRule="auto"/>
              <w:ind w:left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w:t>
            </w:r>
          </w:p>
        </w:tc>
        <w:tc>
          <w:tcPr>
            <w:tcW w:w="1058" w:type="pct"/>
            <w:noWrap w:val="0"/>
            <w:vAlign w:val="center"/>
          </w:tcPr>
          <w:p w14:paraId="2D5A950F">
            <w:pPr>
              <w:widowControl/>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所响应产品对用户需求书中带▲号的重要技术参数的符合性</w:t>
            </w:r>
          </w:p>
        </w:tc>
        <w:tc>
          <w:tcPr>
            <w:tcW w:w="3120" w:type="pct"/>
            <w:noWrap w:val="0"/>
            <w:vAlign w:val="center"/>
          </w:tcPr>
          <w:p w14:paraId="3DE5C53D">
            <w:pPr>
              <w:pStyle w:val="5"/>
              <w:spacing w:line="360" w:lineRule="auto"/>
              <w:ind w:firstLine="0"/>
              <w:rPr>
                <w:rFonts w:hint="default" w:ascii="Times New Roman" w:hAnsi="Times New Roman" w:eastAsia="宋体" w:cs="Times New Roman"/>
                <w:sz w:val="24"/>
              </w:rPr>
            </w:pPr>
            <w:r>
              <w:rPr>
                <w:rFonts w:hint="default" w:ascii="Times New Roman" w:hAnsi="Times New Roman" w:eastAsia="宋体" w:cs="Times New Roman"/>
                <w:kern w:val="2"/>
                <w:sz w:val="24"/>
              </w:rPr>
              <w:t>供应商</w:t>
            </w:r>
            <w:r>
              <w:rPr>
                <w:rFonts w:hint="default" w:ascii="Times New Roman" w:hAnsi="Times New Roman" w:eastAsia="宋体" w:cs="Times New Roman"/>
                <w:sz w:val="24"/>
              </w:rPr>
              <w:t>所响应产品</w:t>
            </w:r>
            <w:r>
              <w:rPr>
                <w:rFonts w:hint="default" w:ascii="Times New Roman" w:hAnsi="Times New Roman" w:eastAsia="宋体" w:cs="Times New Roman"/>
                <w:kern w:val="2"/>
                <w:sz w:val="24"/>
              </w:rPr>
              <w:t>每满足一项用户需求书中带“▲”号的</w:t>
            </w:r>
            <w:r>
              <w:rPr>
                <w:rFonts w:hint="default" w:ascii="Times New Roman" w:hAnsi="Times New Roman" w:eastAsia="宋体" w:cs="Times New Roman"/>
                <w:sz w:val="24"/>
              </w:rPr>
              <w:t>重要技术</w:t>
            </w:r>
            <w:r>
              <w:rPr>
                <w:rFonts w:hint="default" w:ascii="Times New Roman" w:hAnsi="Times New Roman" w:eastAsia="宋体" w:cs="Times New Roman"/>
                <w:kern w:val="2"/>
                <w:sz w:val="24"/>
              </w:rPr>
              <w:t>要求（共</w:t>
            </w:r>
            <w:r>
              <w:rPr>
                <w:rFonts w:hint="default" w:ascii="Times New Roman" w:hAnsi="Times New Roman" w:eastAsia="宋体" w:cs="Times New Roman"/>
                <w:kern w:val="2"/>
                <w:sz w:val="24"/>
                <w:lang w:val="en-US" w:eastAsia="zh-CN"/>
              </w:rPr>
              <w:t>5</w:t>
            </w:r>
            <w:r>
              <w:rPr>
                <w:rFonts w:hint="default" w:ascii="Times New Roman" w:hAnsi="Times New Roman" w:eastAsia="宋体" w:cs="Times New Roman"/>
                <w:kern w:val="2"/>
                <w:sz w:val="24"/>
              </w:rPr>
              <w:t>项），</w:t>
            </w:r>
            <w:r>
              <w:rPr>
                <w:rFonts w:hint="default" w:ascii="Times New Roman" w:hAnsi="Times New Roman" w:eastAsia="宋体" w:cs="Times New Roman"/>
                <w:sz w:val="24"/>
              </w:rPr>
              <w:t>得</w:t>
            </w:r>
            <w:r>
              <w:rPr>
                <w:rFonts w:hint="default" w:ascii="Times New Roman" w:hAnsi="Times New Roman" w:eastAsia="宋体" w:cs="Times New Roman"/>
                <w:sz w:val="24"/>
                <w:lang w:val="en-US" w:eastAsia="zh-CN"/>
              </w:rPr>
              <w:t>3.5</w:t>
            </w:r>
            <w:r>
              <w:rPr>
                <w:rFonts w:hint="default" w:ascii="Times New Roman" w:hAnsi="Times New Roman" w:eastAsia="宋体" w:cs="Times New Roman"/>
                <w:sz w:val="24"/>
              </w:rPr>
              <w:t>分，合计1</w:t>
            </w:r>
            <w:r>
              <w:rPr>
                <w:rFonts w:hint="default" w:ascii="Times New Roman" w:hAnsi="Times New Roman" w:eastAsia="宋体" w:cs="Times New Roman"/>
                <w:sz w:val="24"/>
                <w:lang w:val="en-US" w:eastAsia="zh-CN"/>
              </w:rPr>
              <w:t>7.5</w:t>
            </w:r>
            <w:r>
              <w:rPr>
                <w:rFonts w:hint="default" w:ascii="Times New Roman" w:hAnsi="Times New Roman" w:eastAsia="宋体" w:cs="Times New Roman"/>
                <w:sz w:val="24"/>
              </w:rPr>
              <w:t>分；</w:t>
            </w:r>
          </w:p>
          <w:p w14:paraId="0F7DFB09">
            <w:pPr>
              <w:pStyle w:val="5"/>
              <w:spacing w:line="360" w:lineRule="auto"/>
              <w:ind w:firstLine="0"/>
              <w:rPr>
                <w:rFonts w:hint="default" w:ascii="Times New Roman" w:hAnsi="Times New Roman" w:eastAsia="宋体" w:cs="Times New Roman"/>
                <w:sz w:val="24"/>
              </w:rPr>
            </w:pPr>
            <w:r>
              <w:rPr>
                <w:rFonts w:hint="default" w:ascii="Times New Roman" w:hAnsi="Times New Roman" w:eastAsia="宋体" w:cs="Times New Roman"/>
                <w:sz w:val="24"/>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474D9A7E">
            <w:pPr>
              <w:pStyle w:val="5"/>
              <w:spacing w:line="360" w:lineRule="auto"/>
              <w:ind w:firstLine="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w:t>
            </w:r>
            <w:r>
              <w:rPr>
                <w:rFonts w:hint="default" w:ascii="Times New Roman" w:hAnsi="Times New Roman" w:eastAsia="宋体" w:cs="Times New Roman"/>
                <w:sz w:val="24"/>
                <w:lang w:val="en-US" w:eastAsia="zh-CN"/>
              </w:rPr>
              <w:t>7.5</w:t>
            </w:r>
          </w:p>
        </w:tc>
      </w:tr>
      <w:tr w14:paraId="1587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23329F60">
            <w:pPr>
              <w:pStyle w:val="8"/>
              <w:numPr>
                <w:ilvl w:val="0"/>
                <w:numId w:val="0"/>
              </w:numPr>
              <w:autoSpaceDE/>
              <w:autoSpaceDN/>
              <w:snapToGrid w:val="0"/>
              <w:spacing w:line="240" w:lineRule="auto"/>
              <w:ind w:firstLine="0" w:firstLine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w:t>
            </w:r>
          </w:p>
        </w:tc>
        <w:tc>
          <w:tcPr>
            <w:tcW w:w="1058" w:type="pct"/>
            <w:noWrap w:val="0"/>
            <w:vAlign w:val="center"/>
          </w:tcPr>
          <w:p w14:paraId="4965B609">
            <w:pPr>
              <w:widowControl/>
              <w:spacing w:line="360" w:lineRule="auto"/>
              <w:rPr>
                <w:rFonts w:hint="default" w:ascii="Times New Roman" w:hAnsi="Times New Roman" w:eastAsia="宋体" w:cs="Times New Roman"/>
                <w:bCs/>
                <w:sz w:val="24"/>
              </w:rPr>
            </w:pPr>
            <w:r>
              <w:rPr>
                <w:rFonts w:hint="default" w:ascii="Times New Roman" w:hAnsi="Times New Roman" w:eastAsia="宋体" w:cs="Times New Roman"/>
                <w:sz w:val="24"/>
              </w:rPr>
              <w:t>所响应货物技术参数及性能与技术规格要求的符合性</w:t>
            </w:r>
          </w:p>
        </w:tc>
        <w:tc>
          <w:tcPr>
            <w:tcW w:w="3120" w:type="pct"/>
            <w:noWrap w:val="0"/>
            <w:vAlign w:val="center"/>
          </w:tcPr>
          <w:p w14:paraId="518204E9">
            <w:pPr>
              <w:pStyle w:val="5"/>
              <w:spacing w:line="360" w:lineRule="auto"/>
              <w:ind w:firstLine="0"/>
              <w:rPr>
                <w:rFonts w:hint="default" w:ascii="Times New Roman" w:hAnsi="Times New Roman" w:eastAsia="宋体" w:cs="Times New Roman"/>
                <w:sz w:val="24"/>
              </w:rPr>
            </w:pPr>
            <w:r>
              <w:rPr>
                <w:rFonts w:hint="default" w:ascii="Times New Roman" w:hAnsi="Times New Roman" w:eastAsia="宋体" w:cs="Times New Roman"/>
                <w:kern w:val="2"/>
                <w:sz w:val="24"/>
              </w:rPr>
              <w:t>供应商</w:t>
            </w:r>
            <w:r>
              <w:rPr>
                <w:rFonts w:hint="default" w:ascii="Times New Roman" w:hAnsi="Times New Roman" w:eastAsia="宋体" w:cs="Times New Roman"/>
                <w:sz w:val="24"/>
              </w:rPr>
              <w:t>所响应产品</w:t>
            </w:r>
            <w:r>
              <w:rPr>
                <w:rFonts w:hint="default" w:ascii="Times New Roman" w:hAnsi="Times New Roman" w:eastAsia="宋体" w:cs="Times New Roman"/>
                <w:kern w:val="2"/>
                <w:sz w:val="24"/>
              </w:rPr>
              <w:t>每满足一项用户需求书</w:t>
            </w:r>
            <w:r>
              <w:rPr>
                <w:rFonts w:hint="default" w:ascii="Times New Roman" w:hAnsi="Times New Roman" w:eastAsia="宋体" w:cs="Times New Roman"/>
                <w:b/>
                <w:sz w:val="24"/>
              </w:rPr>
              <w:t>“技术要求及参数”</w:t>
            </w:r>
            <w:r>
              <w:rPr>
                <w:rFonts w:hint="default" w:ascii="Times New Roman" w:hAnsi="Times New Roman" w:eastAsia="宋体" w:cs="Times New Roman"/>
                <w:kern w:val="2"/>
                <w:sz w:val="24"/>
              </w:rPr>
              <w:t>中不带“▲”号的</w:t>
            </w:r>
            <w:r>
              <w:rPr>
                <w:rFonts w:hint="default" w:ascii="Times New Roman" w:hAnsi="Times New Roman" w:eastAsia="宋体" w:cs="Times New Roman"/>
                <w:sz w:val="24"/>
              </w:rPr>
              <w:t>技术</w:t>
            </w:r>
            <w:r>
              <w:rPr>
                <w:rFonts w:hint="default" w:ascii="Times New Roman" w:hAnsi="Times New Roman" w:eastAsia="宋体" w:cs="Times New Roman"/>
                <w:kern w:val="2"/>
                <w:sz w:val="24"/>
              </w:rPr>
              <w:t>要求（共</w:t>
            </w:r>
            <w:r>
              <w:rPr>
                <w:rFonts w:hint="default" w:ascii="Times New Roman" w:hAnsi="Times New Roman" w:eastAsia="宋体" w:cs="Times New Roman"/>
                <w:kern w:val="2"/>
                <w:sz w:val="24"/>
                <w:lang w:val="en-US" w:eastAsia="zh-CN"/>
              </w:rPr>
              <w:t>11</w:t>
            </w:r>
            <w:r>
              <w:rPr>
                <w:rFonts w:hint="default" w:ascii="Times New Roman" w:hAnsi="Times New Roman" w:eastAsia="宋体" w:cs="Times New Roman"/>
                <w:kern w:val="2"/>
                <w:sz w:val="24"/>
              </w:rPr>
              <w:t>项），</w:t>
            </w:r>
            <w:r>
              <w:rPr>
                <w:rFonts w:hint="default" w:ascii="Times New Roman" w:hAnsi="Times New Roman" w:eastAsia="宋体" w:cs="Times New Roman"/>
                <w:sz w:val="24"/>
              </w:rPr>
              <w:t>得</w:t>
            </w:r>
            <w:r>
              <w:rPr>
                <w:rFonts w:hint="default" w:ascii="Times New Roman" w:hAnsi="Times New Roman" w:eastAsia="宋体" w:cs="Times New Roman"/>
                <w:sz w:val="24"/>
                <w:lang w:val="en-US" w:eastAsia="zh-CN"/>
              </w:rPr>
              <w:t>1.5</w:t>
            </w:r>
            <w:r>
              <w:rPr>
                <w:rFonts w:hint="default" w:ascii="Times New Roman" w:hAnsi="Times New Roman" w:eastAsia="宋体" w:cs="Times New Roman"/>
                <w:sz w:val="24"/>
              </w:rPr>
              <w:t>分，合计</w:t>
            </w:r>
            <w:r>
              <w:rPr>
                <w:rFonts w:hint="default" w:ascii="Times New Roman" w:hAnsi="Times New Roman" w:eastAsia="宋体" w:cs="Times New Roman"/>
                <w:sz w:val="24"/>
                <w:lang w:val="en-US" w:eastAsia="zh-CN"/>
              </w:rPr>
              <w:t>16.5</w:t>
            </w:r>
            <w:r>
              <w:rPr>
                <w:rFonts w:hint="default" w:ascii="Times New Roman" w:hAnsi="Times New Roman" w:eastAsia="宋体" w:cs="Times New Roman"/>
                <w:sz w:val="24"/>
              </w:rPr>
              <w:t>分；</w:t>
            </w:r>
          </w:p>
        </w:tc>
        <w:tc>
          <w:tcPr>
            <w:tcW w:w="501" w:type="pct"/>
            <w:noWrap w:val="0"/>
            <w:vAlign w:val="center"/>
          </w:tcPr>
          <w:p w14:paraId="0A23C52D">
            <w:pPr>
              <w:pStyle w:val="5"/>
              <w:spacing w:line="360" w:lineRule="auto"/>
              <w:ind w:firstLine="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16.5</w:t>
            </w:r>
          </w:p>
        </w:tc>
      </w:tr>
      <w:tr w14:paraId="6D49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507ED208">
            <w:pPr>
              <w:pStyle w:val="8"/>
              <w:numPr>
                <w:ilvl w:val="0"/>
                <w:numId w:val="0"/>
              </w:numPr>
              <w:autoSpaceDE/>
              <w:autoSpaceDN/>
              <w:snapToGrid w:val="0"/>
              <w:spacing w:line="240" w:lineRule="auto"/>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w:t>
            </w:r>
          </w:p>
        </w:tc>
        <w:tc>
          <w:tcPr>
            <w:tcW w:w="1058" w:type="pct"/>
            <w:noWrap w:val="0"/>
            <w:vAlign w:val="center"/>
          </w:tcPr>
          <w:p w14:paraId="7C7770B6">
            <w:pPr>
              <w:widowControl/>
              <w:spacing w:line="360" w:lineRule="auto"/>
              <w:jc w:val="center"/>
              <w:rPr>
                <w:rFonts w:hint="default" w:ascii="Times New Roman" w:hAnsi="Times New Roman" w:eastAsia="宋体" w:cs="Times New Roman"/>
                <w:bCs/>
                <w:sz w:val="24"/>
              </w:rPr>
            </w:pPr>
            <w:r>
              <w:rPr>
                <w:rFonts w:hint="default" w:ascii="Times New Roman" w:hAnsi="Times New Roman" w:eastAsia="宋体" w:cs="Times New Roman"/>
                <w:sz w:val="24"/>
                <w:szCs w:val="24"/>
              </w:rPr>
              <w:t>质量管理及保障措施方案</w:t>
            </w:r>
          </w:p>
        </w:tc>
        <w:tc>
          <w:tcPr>
            <w:tcW w:w="3120" w:type="pct"/>
            <w:noWrap w:val="0"/>
            <w:vAlign w:val="center"/>
          </w:tcPr>
          <w:p w14:paraId="55F8285F">
            <w:pPr>
              <w:pStyle w:val="5"/>
              <w:spacing w:line="240" w:lineRule="auto"/>
              <w:ind w:firstLine="0"/>
              <w:rPr>
                <w:rFonts w:hint="default" w:ascii="Times New Roman" w:hAnsi="Times New Roman" w:eastAsia="宋体" w:cs="Times New Roman"/>
                <w:sz w:val="24"/>
              </w:rPr>
            </w:pPr>
            <w:r>
              <w:rPr>
                <w:rFonts w:hint="default" w:ascii="Times New Roman" w:hAnsi="Times New Roman" w:eastAsia="宋体" w:cs="Times New Roman"/>
                <w:sz w:val="24"/>
                <w:szCs w:val="24"/>
              </w:rPr>
              <w:t>根据投标人所投产品的质量保证措施（包括但不限于货物生产、质检、出厂、运输、交货等环节）进行评分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投标人提供的质量保证，完全满足且优于采购需求的，得</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分；完全满足采购需求的，得</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分；不完全满足采购需求的，得1分；其他或不提供的，得0分。</w:t>
            </w:r>
          </w:p>
        </w:tc>
        <w:tc>
          <w:tcPr>
            <w:tcW w:w="501" w:type="pct"/>
            <w:noWrap w:val="0"/>
            <w:vAlign w:val="center"/>
          </w:tcPr>
          <w:p w14:paraId="5D993B39">
            <w:pPr>
              <w:pStyle w:val="5"/>
              <w:spacing w:line="360" w:lineRule="auto"/>
              <w:ind w:firstLine="0"/>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7</w:t>
            </w:r>
          </w:p>
        </w:tc>
      </w:tr>
      <w:tr w14:paraId="235C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2816C2FF">
            <w:pPr>
              <w:pStyle w:val="8"/>
              <w:numPr>
                <w:ilvl w:val="0"/>
                <w:numId w:val="0"/>
              </w:numPr>
              <w:autoSpaceDE/>
              <w:autoSpaceDN/>
              <w:snapToGrid w:val="0"/>
              <w:spacing w:line="240" w:lineRule="auto"/>
              <w:ind w:left="0" w:left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w:t>
            </w:r>
          </w:p>
        </w:tc>
        <w:tc>
          <w:tcPr>
            <w:tcW w:w="1058" w:type="pct"/>
            <w:noWrap w:val="0"/>
            <w:vAlign w:val="center"/>
          </w:tcPr>
          <w:p w14:paraId="07B1515B">
            <w:pPr>
              <w:widowControl/>
              <w:spacing w:line="360" w:lineRule="auto"/>
              <w:jc w:val="center"/>
              <w:rPr>
                <w:rFonts w:hint="default" w:ascii="Times New Roman" w:hAnsi="Times New Roman" w:eastAsia="宋体" w:cs="Times New Roman"/>
                <w:bCs/>
                <w:sz w:val="24"/>
              </w:rPr>
            </w:pPr>
            <w:r>
              <w:rPr>
                <w:rFonts w:hint="default" w:ascii="Times New Roman" w:hAnsi="Times New Roman" w:eastAsia="宋体" w:cs="Times New Roman"/>
                <w:sz w:val="24"/>
                <w:szCs w:val="24"/>
              </w:rPr>
              <w:t>培训方案</w:t>
            </w:r>
          </w:p>
        </w:tc>
        <w:tc>
          <w:tcPr>
            <w:tcW w:w="3120" w:type="pct"/>
            <w:noWrap w:val="0"/>
            <w:vAlign w:val="center"/>
          </w:tcPr>
          <w:p w14:paraId="7CFE8886">
            <w:pPr>
              <w:spacing w:line="288" w:lineRule="auto"/>
              <w:rPr>
                <w:rFonts w:hint="default" w:ascii="Times New Roman" w:hAnsi="Times New Roman" w:eastAsia="宋体" w:cs="Times New Roman"/>
                <w:sz w:val="24"/>
              </w:rPr>
            </w:pPr>
            <w:r>
              <w:rPr>
                <w:rFonts w:hint="default" w:ascii="Times New Roman" w:hAnsi="Times New Roman" w:eastAsia="宋体" w:cs="Times New Roman"/>
                <w:sz w:val="24"/>
                <w:szCs w:val="24"/>
              </w:rPr>
              <w:t>根据投标人所投产品的</w:t>
            </w:r>
            <w:r>
              <w:rPr>
                <w:rFonts w:hint="default" w:ascii="Times New Roman" w:hAnsi="Times New Roman" w:eastAsia="宋体" w:cs="Times New Roman"/>
                <w:sz w:val="24"/>
                <w:szCs w:val="24"/>
                <w:lang w:val="en-US" w:eastAsia="zh-CN"/>
              </w:rPr>
              <w:t>培训措施</w:t>
            </w:r>
            <w:r>
              <w:rPr>
                <w:rFonts w:hint="default" w:ascii="Times New Roman" w:hAnsi="Times New Roman" w:eastAsia="宋体" w:cs="Times New Roman"/>
                <w:sz w:val="24"/>
                <w:szCs w:val="24"/>
              </w:rPr>
              <w:t>，培训方案，完全满足且优于采购需求的，得</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分；完全满足采购需求的，得3分；不完全满足采购需求的，得1分；其他或不提供的，得0分。</w:t>
            </w:r>
          </w:p>
        </w:tc>
        <w:tc>
          <w:tcPr>
            <w:tcW w:w="501" w:type="pct"/>
            <w:noWrap w:val="0"/>
            <w:vAlign w:val="center"/>
          </w:tcPr>
          <w:p w14:paraId="0FA0EA53">
            <w:pPr>
              <w:pStyle w:val="5"/>
              <w:spacing w:line="360" w:lineRule="auto"/>
              <w:ind w:firstLine="0"/>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7</w:t>
            </w:r>
          </w:p>
        </w:tc>
      </w:tr>
      <w:tr w14:paraId="2F03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056E43AB">
            <w:pPr>
              <w:pStyle w:val="8"/>
              <w:numPr>
                <w:ilvl w:val="0"/>
                <w:numId w:val="0"/>
              </w:numPr>
              <w:autoSpaceDE/>
              <w:autoSpaceDN/>
              <w:snapToGrid w:val="0"/>
              <w:spacing w:line="240" w:lineRule="auto"/>
              <w:ind w:left="0" w:left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w:t>
            </w:r>
          </w:p>
        </w:tc>
        <w:tc>
          <w:tcPr>
            <w:tcW w:w="1058" w:type="pct"/>
            <w:noWrap w:val="0"/>
            <w:vAlign w:val="center"/>
          </w:tcPr>
          <w:p w14:paraId="249412D6">
            <w:pPr>
              <w:widowControl/>
              <w:spacing w:line="360" w:lineRule="auto"/>
              <w:rPr>
                <w:rFonts w:hint="default" w:ascii="Times New Roman" w:hAnsi="Times New Roman" w:eastAsia="宋体" w:cs="Times New Roman"/>
                <w:sz w:val="24"/>
              </w:rPr>
            </w:pPr>
            <w:r>
              <w:rPr>
                <w:rFonts w:hint="default" w:ascii="Times New Roman" w:hAnsi="Times New Roman" w:eastAsia="宋体" w:cs="Times New Roman"/>
                <w:sz w:val="24"/>
                <w:lang w:val="zh-CN"/>
              </w:rPr>
              <w:t>供应商供货能力</w:t>
            </w:r>
          </w:p>
        </w:tc>
        <w:tc>
          <w:tcPr>
            <w:tcW w:w="3120" w:type="pct"/>
            <w:noWrap w:val="0"/>
            <w:vAlign w:val="center"/>
          </w:tcPr>
          <w:p w14:paraId="1F28273C">
            <w:pPr>
              <w:pStyle w:val="5"/>
              <w:spacing w:line="360" w:lineRule="auto"/>
              <w:ind w:firstLine="0"/>
              <w:rPr>
                <w:rFonts w:hint="default" w:ascii="Times New Roman" w:hAnsi="Times New Roman" w:eastAsia="宋体" w:cs="Times New Roman"/>
                <w:sz w:val="24"/>
              </w:rPr>
            </w:pPr>
            <w:r>
              <w:rPr>
                <w:rFonts w:hint="default" w:ascii="Times New Roman" w:hAnsi="Times New Roman" w:eastAsia="宋体" w:cs="Times New Roman"/>
                <w:sz w:val="24"/>
              </w:rPr>
              <w:t>（1）如供应商为所响应产品制造商或具有有效授权的代理经销商，得</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分，提供有效的制造商资格证明或授权证明材料并加盖投标人公章，如不提供，不得分。</w:t>
            </w:r>
          </w:p>
          <w:p w14:paraId="711988AB">
            <w:pPr>
              <w:pStyle w:val="5"/>
              <w:spacing w:line="360" w:lineRule="auto"/>
              <w:ind w:firstLine="0"/>
              <w:rPr>
                <w:rFonts w:hint="default" w:ascii="Times New Roman" w:hAnsi="Times New Roman" w:eastAsia="宋体" w:cs="Times New Roman"/>
                <w:sz w:val="24"/>
              </w:rPr>
            </w:pPr>
            <w:r>
              <w:rPr>
                <w:rFonts w:hint="default" w:ascii="Times New Roman" w:hAnsi="Times New Roman" w:eastAsia="宋体" w:cs="Times New Roman"/>
                <w:sz w:val="24"/>
              </w:rPr>
              <w:t>（2）</w:t>
            </w:r>
            <w:r>
              <w:rPr>
                <w:rFonts w:hint="default" w:ascii="Times New Roman" w:hAnsi="Times New Roman" w:eastAsia="宋体" w:cs="Times New Roman"/>
                <w:kern w:val="2"/>
                <w:sz w:val="24"/>
              </w:rPr>
              <w:t>提供原厂保修承诺函（包含从验收合格之日起计算保修年限</w:t>
            </w:r>
            <w:r>
              <w:rPr>
                <w:rFonts w:hint="default" w:ascii="Times New Roman" w:hAnsi="Times New Roman" w:eastAsia="宋体" w:cs="Times New Roman"/>
                <w:kern w:val="2"/>
                <w:sz w:val="24"/>
                <w:lang w:val="en-US" w:eastAsia="zh-CN"/>
              </w:rPr>
              <w:t>和</w:t>
            </w:r>
            <w:r>
              <w:rPr>
                <w:rFonts w:hint="default" w:ascii="Times New Roman" w:hAnsi="Times New Roman" w:eastAsia="宋体" w:cs="Times New Roman"/>
                <w:kern w:val="2"/>
                <w:sz w:val="24"/>
              </w:rPr>
              <w:t>保修期满后上门检测维修免上门费和交通费等相关内容），得</w:t>
            </w:r>
            <w:r>
              <w:rPr>
                <w:rFonts w:hint="default" w:ascii="Times New Roman" w:hAnsi="Times New Roman" w:eastAsia="宋体" w:cs="Times New Roman"/>
                <w:kern w:val="2"/>
                <w:sz w:val="24"/>
                <w:lang w:val="en-US" w:eastAsia="zh-CN"/>
              </w:rPr>
              <w:t>2</w:t>
            </w:r>
            <w:r>
              <w:rPr>
                <w:rFonts w:hint="default" w:ascii="Times New Roman" w:hAnsi="Times New Roman" w:eastAsia="宋体" w:cs="Times New Roman"/>
                <w:kern w:val="2"/>
                <w:sz w:val="24"/>
              </w:rPr>
              <w:t>分。</w:t>
            </w:r>
            <w:r>
              <w:rPr>
                <w:rFonts w:hint="default" w:ascii="Times New Roman" w:hAnsi="Times New Roman" w:eastAsia="宋体" w:cs="Times New Roman"/>
                <w:sz w:val="24"/>
              </w:rPr>
              <w:t>提供</w:t>
            </w:r>
            <w:r>
              <w:rPr>
                <w:rFonts w:hint="default" w:ascii="Times New Roman" w:hAnsi="Times New Roman" w:eastAsia="宋体" w:cs="Times New Roman"/>
                <w:kern w:val="2"/>
                <w:sz w:val="24"/>
              </w:rPr>
              <w:t>原厂出具的承诺函</w:t>
            </w:r>
            <w:r>
              <w:rPr>
                <w:rFonts w:hint="default" w:ascii="Times New Roman" w:hAnsi="Times New Roman" w:eastAsia="宋体" w:cs="Times New Roman"/>
                <w:sz w:val="24"/>
              </w:rPr>
              <w:t>并加盖投标人公章，如不提供，不得分。</w:t>
            </w:r>
          </w:p>
        </w:tc>
        <w:tc>
          <w:tcPr>
            <w:tcW w:w="501" w:type="pct"/>
            <w:noWrap w:val="0"/>
            <w:vAlign w:val="center"/>
          </w:tcPr>
          <w:p w14:paraId="5307188A">
            <w:pPr>
              <w:pStyle w:val="5"/>
              <w:spacing w:line="360" w:lineRule="auto"/>
              <w:ind w:firstLine="0"/>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7</w:t>
            </w:r>
          </w:p>
        </w:tc>
      </w:tr>
      <w:tr w14:paraId="3A5B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7DADB182">
            <w:pPr>
              <w:pStyle w:val="8"/>
              <w:autoSpaceDE/>
              <w:autoSpaceDN/>
              <w:snapToGrid w:val="0"/>
              <w:spacing w:line="240" w:lineRule="auto"/>
              <w:ind w:firstLine="0" w:firstLineChars="0"/>
              <w:jc w:val="center"/>
              <w:textAlignment w:val="baseline"/>
              <w:rPr>
                <w:rFonts w:hint="default" w:ascii="Times New Roman" w:hAnsi="Times New Roman" w:eastAsia="宋体" w:cs="Times New Roman"/>
                <w:sz w:val="24"/>
              </w:rPr>
            </w:pPr>
            <w:r>
              <w:rPr>
                <w:rFonts w:hint="default" w:ascii="Times New Roman" w:hAnsi="Times New Roman" w:eastAsia="宋体" w:cs="Times New Roman"/>
                <w:b/>
                <w:sz w:val="24"/>
                <w:lang w:val="en-US" w:eastAsia="zh-CN" w:bidi="ar-SA"/>
              </w:rPr>
              <w:t>二</w:t>
            </w:r>
          </w:p>
        </w:tc>
        <w:tc>
          <w:tcPr>
            <w:tcW w:w="4679" w:type="pct"/>
            <w:gridSpan w:val="3"/>
            <w:noWrap w:val="0"/>
            <w:vAlign w:val="center"/>
          </w:tcPr>
          <w:p w14:paraId="6DBBCC4B">
            <w:pPr>
              <w:spacing w:line="240" w:lineRule="auto"/>
              <w:jc w:val="center"/>
              <w:rPr>
                <w:rFonts w:hint="default" w:ascii="Times New Roman" w:hAnsi="Times New Roman" w:eastAsia="宋体" w:cs="Times New Roman"/>
                <w:sz w:val="24"/>
              </w:rPr>
            </w:pPr>
            <w:r>
              <w:rPr>
                <w:rFonts w:hint="default" w:ascii="Times New Roman" w:hAnsi="Times New Roman" w:eastAsia="宋体" w:cs="Times New Roman"/>
                <w:b/>
                <w:sz w:val="24"/>
              </w:rPr>
              <w:t>商务部分（合计15分）</w:t>
            </w:r>
          </w:p>
        </w:tc>
      </w:tr>
      <w:tr w14:paraId="277D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36DF584E">
            <w:pPr>
              <w:pStyle w:val="8"/>
              <w:numPr>
                <w:ilvl w:val="0"/>
                <w:numId w:val="0"/>
              </w:numPr>
              <w:autoSpaceDE/>
              <w:autoSpaceDN/>
              <w:snapToGrid w:val="0"/>
              <w:spacing w:line="240" w:lineRule="auto"/>
              <w:ind w:left="0" w:left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w:t>
            </w:r>
          </w:p>
        </w:tc>
        <w:tc>
          <w:tcPr>
            <w:tcW w:w="1058" w:type="pct"/>
            <w:noWrap w:val="0"/>
            <w:vAlign w:val="center"/>
          </w:tcPr>
          <w:p w14:paraId="4276ED62">
            <w:pPr>
              <w:tabs>
                <w:tab w:val="left" w:pos="840"/>
              </w:tabs>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szCs w:val="24"/>
              </w:rPr>
              <w:t>售后服务方案</w:t>
            </w:r>
          </w:p>
        </w:tc>
        <w:tc>
          <w:tcPr>
            <w:tcW w:w="3120" w:type="pct"/>
            <w:noWrap w:val="0"/>
            <w:vAlign w:val="center"/>
          </w:tcPr>
          <w:p w14:paraId="319720C8">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根据投标人提供售后服务的能力（包括质保期、维护保养方案是否完善具体，各阶段服务计划（履约进度表）是否详尽等），综合评价优</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分，次之3分，</w:t>
            </w:r>
            <w:r>
              <w:rPr>
                <w:rFonts w:hint="default" w:ascii="Times New Roman" w:hAnsi="Times New Roman" w:eastAsia="宋体" w:cs="Times New Roman"/>
                <w:sz w:val="24"/>
                <w:lang w:val="en-US" w:eastAsia="zh-CN"/>
              </w:rPr>
              <w:t>若</w:t>
            </w:r>
            <w:r>
              <w:rPr>
                <w:rFonts w:hint="default" w:ascii="Times New Roman" w:hAnsi="Times New Roman" w:eastAsia="宋体" w:cs="Times New Roman"/>
                <w:sz w:val="24"/>
              </w:rPr>
              <w:t>没有具体承诺或不提供方案的不得分。</w:t>
            </w:r>
          </w:p>
        </w:tc>
        <w:tc>
          <w:tcPr>
            <w:tcW w:w="501" w:type="pct"/>
            <w:noWrap w:val="0"/>
            <w:vAlign w:val="center"/>
          </w:tcPr>
          <w:p w14:paraId="18406626">
            <w:pPr>
              <w:spacing w:line="360" w:lineRule="auto"/>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5</w:t>
            </w:r>
          </w:p>
        </w:tc>
      </w:tr>
      <w:tr w14:paraId="07C2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77EA98DA">
            <w:pPr>
              <w:pStyle w:val="8"/>
              <w:numPr>
                <w:ilvl w:val="0"/>
                <w:numId w:val="0"/>
              </w:numPr>
              <w:autoSpaceDE/>
              <w:autoSpaceDN/>
              <w:snapToGrid w:val="0"/>
              <w:spacing w:line="240" w:lineRule="auto"/>
              <w:ind w:firstLine="0" w:firstLine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w:t>
            </w:r>
          </w:p>
        </w:tc>
        <w:tc>
          <w:tcPr>
            <w:tcW w:w="1058" w:type="pct"/>
            <w:noWrap w:val="0"/>
            <w:vAlign w:val="center"/>
          </w:tcPr>
          <w:p w14:paraId="570EFA92">
            <w:pPr>
              <w:tabs>
                <w:tab w:val="left" w:pos="840"/>
              </w:tabs>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自202</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年1月1日以来的设备业绩和信誉</w:t>
            </w:r>
          </w:p>
        </w:tc>
        <w:tc>
          <w:tcPr>
            <w:tcW w:w="3120" w:type="pct"/>
            <w:noWrap w:val="0"/>
            <w:vAlign w:val="center"/>
          </w:tcPr>
          <w:p w14:paraId="1AAE481E">
            <w:pPr>
              <w:spacing w:line="360" w:lineRule="auto"/>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每提供一项</w:t>
            </w:r>
            <w:r>
              <w:rPr>
                <w:rFonts w:hint="default" w:ascii="Times New Roman" w:hAnsi="Times New Roman" w:eastAsia="宋体" w:cs="Times New Roman"/>
                <w:sz w:val="24"/>
                <w:lang w:val="en-US" w:eastAsia="zh-CN"/>
              </w:rPr>
              <w:t>设备</w:t>
            </w:r>
            <w:r>
              <w:rPr>
                <w:rFonts w:hint="default" w:ascii="Times New Roman" w:hAnsi="Times New Roman" w:eastAsia="宋体" w:cs="Times New Roman"/>
                <w:sz w:val="24"/>
                <w:lang w:val="zh-CN"/>
              </w:rPr>
              <w:t>业绩的合同和中标通知书复印件并加盖公章得</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CN"/>
              </w:rPr>
              <w:t>分，最高得</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lang w:val="zh-CN"/>
              </w:rPr>
              <w:t xml:space="preserve">分，不提供不得分。 </w:t>
            </w:r>
          </w:p>
          <w:p w14:paraId="28B40B90">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注：以合同签订时间为准。</w:t>
            </w:r>
          </w:p>
          <w:p w14:paraId="640BE46B">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1.要求同时提供合同关键信息（含首页、签字页）</w:t>
            </w:r>
            <w:r>
              <w:rPr>
                <w:rFonts w:hint="default" w:ascii="Times New Roman" w:hAnsi="Times New Roman" w:eastAsia="宋体" w:cs="Times New Roman"/>
                <w:sz w:val="24"/>
                <w:lang w:val="zh-CN"/>
              </w:rPr>
              <w:t>和中标通知书</w:t>
            </w:r>
            <w:r>
              <w:rPr>
                <w:rFonts w:hint="default" w:ascii="Times New Roman" w:hAnsi="Times New Roman" w:eastAsia="宋体" w:cs="Times New Roman"/>
                <w:sz w:val="24"/>
              </w:rPr>
              <w:t>证明文件作为得分依据。</w:t>
            </w:r>
          </w:p>
          <w:p w14:paraId="2B5A8081">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.资料均要求提供扫描件加盖投标人公章。评分中出现无证明资料或专家无法凭所提供资料判断是否得分的情况，一律作不得分处理。</w:t>
            </w:r>
          </w:p>
        </w:tc>
        <w:tc>
          <w:tcPr>
            <w:tcW w:w="501" w:type="pct"/>
            <w:noWrap w:val="0"/>
            <w:vAlign w:val="center"/>
          </w:tcPr>
          <w:p w14:paraId="44531E4F">
            <w:pPr>
              <w:spacing w:line="360" w:lineRule="auto"/>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6</w:t>
            </w:r>
          </w:p>
        </w:tc>
      </w:tr>
      <w:tr w14:paraId="2E4C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6C4D2E1B">
            <w:pPr>
              <w:pStyle w:val="8"/>
              <w:numPr>
                <w:ilvl w:val="0"/>
                <w:numId w:val="0"/>
              </w:numPr>
              <w:autoSpaceDE/>
              <w:autoSpaceDN/>
              <w:snapToGrid w:val="0"/>
              <w:spacing w:line="360" w:lineRule="auto"/>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w:t>
            </w:r>
          </w:p>
        </w:tc>
        <w:tc>
          <w:tcPr>
            <w:tcW w:w="1058" w:type="pct"/>
            <w:noWrap w:val="0"/>
            <w:vAlign w:val="center"/>
          </w:tcPr>
          <w:p w14:paraId="275EB35D">
            <w:pPr>
              <w:tabs>
                <w:tab w:val="left" w:pos="840"/>
              </w:tabs>
              <w:spacing w:line="360" w:lineRule="auto"/>
              <w:jc w:val="center"/>
              <w:rPr>
                <w:rFonts w:hint="default" w:ascii="Times New Roman" w:hAnsi="Times New Roman" w:eastAsia="宋体" w:cs="Times New Roman"/>
                <w:b/>
                <w:sz w:val="24"/>
              </w:rPr>
            </w:pPr>
            <w:r>
              <w:rPr>
                <w:rFonts w:hint="default" w:ascii="Times New Roman" w:hAnsi="Times New Roman" w:eastAsia="宋体" w:cs="Times New Roman"/>
                <w:sz w:val="24"/>
              </w:rPr>
              <w:t>使用用户评价</w:t>
            </w:r>
          </w:p>
        </w:tc>
        <w:tc>
          <w:tcPr>
            <w:tcW w:w="3120" w:type="pct"/>
            <w:noWrap w:val="0"/>
            <w:vAlign w:val="center"/>
          </w:tcPr>
          <w:p w14:paraId="0C4BF3A1">
            <w:pPr>
              <w:widowControl/>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提供使用用户评价，每提供一个类似“满意”或“非常满意”或“优”的使用用户评价得</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分，本项最高不超过4分。须提供用户单位的评价证明（格式自拟，须加盖用户单位印章）</w:t>
            </w:r>
          </w:p>
        </w:tc>
        <w:tc>
          <w:tcPr>
            <w:tcW w:w="501" w:type="pct"/>
            <w:noWrap w:val="0"/>
            <w:vAlign w:val="center"/>
          </w:tcPr>
          <w:p w14:paraId="44C3113E">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4</w:t>
            </w:r>
          </w:p>
        </w:tc>
      </w:tr>
      <w:tr w14:paraId="5341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4CB89F9B">
            <w:pPr>
              <w:pStyle w:val="8"/>
              <w:numPr>
                <w:ilvl w:val="0"/>
                <w:numId w:val="0"/>
              </w:numPr>
              <w:autoSpaceDE/>
              <w:autoSpaceDN/>
              <w:snapToGrid w:val="0"/>
              <w:spacing w:line="240" w:lineRule="auto"/>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三</w:t>
            </w:r>
          </w:p>
        </w:tc>
        <w:tc>
          <w:tcPr>
            <w:tcW w:w="4679" w:type="pct"/>
            <w:gridSpan w:val="3"/>
            <w:noWrap w:val="0"/>
            <w:vAlign w:val="center"/>
          </w:tcPr>
          <w:p w14:paraId="23B0AB96">
            <w:pPr>
              <w:spacing w:line="360" w:lineRule="auto"/>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b/>
                <w:sz w:val="24"/>
                <w:lang w:val="en-US" w:eastAsia="zh-CN"/>
              </w:rPr>
              <w:t>报价</w:t>
            </w:r>
            <w:r>
              <w:rPr>
                <w:rFonts w:hint="default" w:ascii="Times New Roman" w:hAnsi="Times New Roman" w:eastAsia="宋体" w:cs="Times New Roman"/>
                <w:b/>
                <w:sz w:val="24"/>
              </w:rPr>
              <w:t>部分（合计</w:t>
            </w:r>
            <w:r>
              <w:rPr>
                <w:rFonts w:hint="default" w:ascii="Times New Roman" w:hAnsi="Times New Roman" w:eastAsia="宋体" w:cs="Times New Roman"/>
                <w:b/>
                <w:sz w:val="24"/>
                <w:lang w:val="en-US" w:eastAsia="zh-CN"/>
              </w:rPr>
              <w:t>30</w:t>
            </w:r>
            <w:r>
              <w:rPr>
                <w:rFonts w:hint="default" w:ascii="Times New Roman" w:hAnsi="Times New Roman" w:eastAsia="宋体" w:cs="Times New Roman"/>
                <w:b/>
                <w:sz w:val="24"/>
              </w:rPr>
              <w:t>分）</w:t>
            </w:r>
          </w:p>
        </w:tc>
      </w:tr>
      <w:tr w14:paraId="595A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24614F2A">
            <w:pPr>
              <w:pStyle w:val="8"/>
              <w:numPr>
                <w:ilvl w:val="0"/>
                <w:numId w:val="0"/>
              </w:numPr>
              <w:autoSpaceDE/>
              <w:autoSpaceDN/>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1</w:t>
            </w:r>
          </w:p>
        </w:tc>
        <w:tc>
          <w:tcPr>
            <w:tcW w:w="1058" w:type="pct"/>
            <w:noWrap w:val="0"/>
            <w:vAlign w:val="center"/>
          </w:tcPr>
          <w:p w14:paraId="2EA9E3C1">
            <w:pPr>
              <w:tabs>
                <w:tab w:val="left" w:pos="840"/>
              </w:tabs>
              <w:spacing w:line="240" w:lineRule="auto"/>
              <w:jc w:val="center"/>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投标报价得分</w:t>
            </w:r>
          </w:p>
        </w:tc>
        <w:tc>
          <w:tcPr>
            <w:tcW w:w="3120" w:type="pct"/>
            <w:noWrap w:val="0"/>
            <w:vAlign w:val="center"/>
          </w:tcPr>
          <w:p w14:paraId="2BD8AE8F">
            <w:pPr>
              <w:widowControl/>
              <w:spacing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投标报价得分＝（评标基准价/投标报价）×价格分值</w:t>
            </w:r>
          </w:p>
          <w:p w14:paraId="798CE259">
            <w:pPr>
              <w:widowControl/>
              <w:spacing w:line="360" w:lineRule="auto"/>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rPr>
              <w:t>备注：投标报价得分四舍五入后，小数点后保留两位有效数</w:t>
            </w:r>
          </w:p>
        </w:tc>
        <w:tc>
          <w:tcPr>
            <w:tcW w:w="501" w:type="pct"/>
            <w:noWrap w:val="0"/>
            <w:vAlign w:val="center"/>
          </w:tcPr>
          <w:p w14:paraId="1D391546">
            <w:pPr>
              <w:spacing w:line="240" w:lineRule="auto"/>
              <w:jc w:val="center"/>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30</w:t>
            </w:r>
          </w:p>
        </w:tc>
      </w:tr>
      <w:tr w14:paraId="16DF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687492C3">
            <w:pPr>
              <w:widowControl/>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合计</w:t>
            </w:r>
          </w:p>
        </w:tc>
        <w:tc>
          <w:tcPr>
            <w:tcW w:w="501" w:type="pct"/>
            <w:noWrap w:val="0"/>
            <w:vAlign w:val="center"/>
          </w:tcPr>
          <w:p w14:paraId="3D97803A">
            <w:pPr>
              <w:widowControl/>
              <w:spacing w:line="360" w:lineRule="auto"/>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100分</w:t>
            </w:r>
          </w:p>
        </w:tc>
      </w:tr>
    </w:tbl>
    <w:p w14:paraId="56225827">
      <w:pPr>
        <w:pageBreakBefore w:val="0"/>
        <w:kinsoku/>
        <w:wordWrap/>
        <w:overflowPunct/>
        <w:topLinePunct w:val="0"/>
        <w:bidi w:val="0"/>
        <w:spacing w:line="576"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B7BFB"/>
    <w:rsid w:val="7C2B7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2026-05-18T09:32:00Z</dcterms:created>
  <dc:creator>卑微小虎崽</dc:creator>
  <cp:lastModifiedBy>卑微小虎崽</cp:lastModifiedBy>
  <dcterms:modified xsi:type="dcterms:W3CDTF">2026-05-18T09:35:17Z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3D2FC486B4B147CC9B6D20D9E8C65999_11</vt:lpwstr>
  </property>
  <property fmtid="{D5CDD505-2E9C-101B-9397-08002B2CF9AE}" pid="4" name="KSOTemplateDocerSaveRecord">
    <vt:lpwstr>eyJoZGlkIjoiYzZkNzQ4ZWFiZmQ4NTRhOWRkZTk3YTMwMjlmMmZhYmUiLCJ1c2VySWQiOiIxMzQ0MTYwMDk1In0=</vt:lpwstr>
  </property>
</Properties>
</file>