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D5D0F">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8"/>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7B4A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5AB30D24">
            <w:pPr>
              <w:snapToGrid w:val="0"/>
              <w:spacing w:line="360" w:lineRule="auto"/>
              <w:ind w:left="-78" w:leftChars="-37" w:right="-73" w:rightChars="-35"/>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058" w:type="pct"/>
            <w:noWrap w:val="0"/>
            <w:vAlign w:val="center"/>
          </w:tcPr>
          <w:p w14:paraId="3EDB3341">
            <w:pPr>
              <w:snapToGrid w:val="0"/>
              <w:spacing w:line="360" w:lineRule="auto"/>
              <w:ind w:left="-78" w:leftChars="-37" w:right="-73" w:rightChars="-35"/>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评审因素</w:t>
            </w:r>
          </w:p>
        </w:tc>
        <w:tc>
          <w:tcPr>
            <w:tcW w:w="3120" w:type="pct"/>
            <w:noWrap w:val="0"/>
            <w:vAlign w:val="center"/>
          </w:tcPr>
          <w:p w14:paraId="748F58EE">
            <w:pPr>
              <w:snapToGrid w:val="0"/>
              <w:spacing w:line="360" w:lineRule="auto"/>
              <w:ind w:left="-78" w:leftChars="-37" w:right="-73" w:rightChars="-35"/>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评分细则</w:t>
            </w:r>
          </w:p>
        </w:tc>
        <w:tc>
          <w:tcPr>
            <w:tcW w:w="501" w:type="pct"/>
            <w:noWrap w:val="0"/>
            <w:vAlign w:val="center"/>
          </w:tcPr>
          <w:p w14:paraId="3F3C71B8">
            <w:pPr>
              <w:snapToGrid w:val="0"/>
              <w:spacing w:line="360" w:lineRule="auto"/>
              <w:ind w:left="-78" w:leftChars="-37" w:right="-73" w:rightChars="-35"/>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分值</w:t>
            </w:r>
          </w:p>
          <w:p w14:paraId="3E032BF0">
            <w:pPr>
              <w:snapToGrid w:val="0"/>
              <w:spacing w:line="360" w:lineRule="auto"/>
              <w:ind w:left="-78" w:leftChars="-37" w:right="-73" w:rightChars="-35"/>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（分）</w:t>
            </w:r>
          </w:p>
        </w:tc>
      </w:tr>
      <w:tr w14:paraId="705E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6DBDB5E6">
            <w:pPr>
              <w:snapToGrid w:val="0"/>
              <w:spacing w:line="240" w:lineRule="auto"/>
              <w:ind w:left="0" w:leftChars="0" w:right="0" w:right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w:t>
            </w:r>
          </w:p>
        </w:tc>
        <w:tc>
          <w:tcPr>
            <w:tcW w:w="4679" w:type="pct"/>
            <w:gridSpan w:val="3"/>
            <w:noWrap w:val="0"/>
            <w:vAlign w:val="center"/>
          </w:tcPr>
          <w:p w14:paraId="2C387CC5">
            <w:pPr>
              <w:snapToGrid w:val="0"/>
              <w:spacing w:line="240" w:lineRule="auto"/>
              <w:ind w:left="0" w:leftChars="0" w:right="0" w:right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技术部分（合计55分）</w:t>
            </w:r>
          </w:p>
        </w:tc>
      </w:tr>
      <w:tr w14:paraId="56F9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320" w:type="pct"/>
            <w:noWrap w:val="0"/>
            <w:vAlign w:val="center"/>
          </w:tcPr>
          <w:p w14:paraId="22FAF74F">
            <w:pPr>
              <w:pStyle w:val="11"/>
              <w:numPr>
                <w:ilvl w:val="0"/>
                <w:numId w:val="0"/>
              </w:numPr>
              <w:autoSpaceDE/>
              <w:autoSpaceDN/>
              <w:snapToGrid w:val="0"/>
              <w:spacing w:line="360" w:lineRule="auto"/>
              <w:ind w:leftChars="0"/>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058" w:type="pct"/>
            <w:noWrap w:val="0"/>
            <w:vAlign w:val="center"/>
          </w:tcPr>
          <w:p w14:paraId="424E092A">
            <w:pPr>
              <w:widowControl/>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所响应产品对用户需求书中带▲号的重要技术参数的符合性</w:t>
            </w:r>
          </w:p>
        </w:tc>
        <w:tc>
          <w:tcPr>
            <w:tcW w:w="3120" w:type="pct"/>
            <w:noWrap w:val="0"/>
            <w:vAlign w:val="center"/>
          </w:tcPr>
          <w:p w14:paraId="7A2E8728">
            <w:pPr>
              <w:pStyle w:val="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rPr>
              <w:t>供应商</w:t>
            </w:r>
            <w:r>
              <w:rPr>
                <w:rFonts w:hint="default" w:ascii="Times New Roman" w:hAnsi="Times New Roman" w:eastAsia="宋体" w:cs="Times New Roman"/>
                <w:sz w:val="24"/>
                <w:szCs w:val="24"/>
              </w:rPr>
              <w:t>所响应产品</w:t>
            </w:r>
            <w:r>
              <w:rPr>
                <w:rFonts w:hint="default" w:ascii="Times New Roman" w:hAnsi="Times New Roman" w:eastAsia="宋体" w:cs="Times New Roman"/>
                <w:kern w:val="2"/>
                <w:sz w:val="24"/>
                <w:szCs w:val="24"/>
              </w:rPr>
              <w:t>每满足一项用户需求书中带“▲”号的</w:t>
            </w:r>
            <w:r>
              <w:rPr>
                <w:rFonts w:hint="default" w:ascii="Times New Roman" w:hAnsi="Times New Roman" w:eastAsia="宋体" w:cs="Times New Roman"/>
                <w:sz w:val="24"/>
                <w:szCs w:val="24"/>
              </w:rPr>
              <w:t>重要技术</w:t>
            </w:r>
            <w:r>
              <w:rPr>
                <w:rFonts w:hint="default" w:ascii="Times New Roman" w:hAnsi="Times New Roman" w:eastAsia="宋体" w:cs="Times New Roman"/>
                <w:kern w:val="2"/>
                <w:sz w:val="24"/>
                <w:szCs w:val="24"/>
              </w:rPr>
              <w:t>要求（共</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rPr>
              <w:t>项），</w:t>
            </w:r>
            <w:r>
              <w:rPr>
                <w:rFonts w:hint="default" w:ascii="Times New Roman" w:hAnsi="Times New Roman" w:eastAsia="宋体" w:cs="Times New Roman"/>
                <w:sz w:val="24"/>
                <w:szCs w:val="24"/>
              </w:rPr>
              <w:t>得</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分，合计</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分；</w:t>
            </w:r>
          </w:p>
          <w:p w14:paraId="183B7617">
            <w:pPr>
              <w:pStyle w:val="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2BBBB53B">
            <w:pPr>
              <w:pStyle w:val="6"/>
              <w:spacing w:line="360" w:lineRule="auto"/>
              <w:ind w:firstLine="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r>
      <w:tr w14:paraId="6888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11CB09BB">
            <w:pPr>
              <w:pStyle w:val="11"/>
              <w:numPr>
                <w:ilvl w:val="0"/>
                <w:numId w:val="0"/>
              </w:numPr>
              <w:autoSpaceDE/>
              <w:autoSpaceDN/>
              <w:snapToGrid w:val="0"/>
              <w:spacing w:line="240" w:lineRule="auto"/>
              <w:ind w:firstLine="0" w:firstLineChars="0"/>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1058" w:type="pct"/>
            <w:noWrap w:val="0"/>
            <w:vAlign w:val="center"/>
          </w:tcPr>
          <w:p w14:paraId="4954EC93">
            <w:pPr>
              <w:widowControl/>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所响应货物技术参数及性能与技术规格要求的符合性</w:t>
            </w:r>
          </w:p>
        </w:tc>
        <w:tc>
          <w:tcPr>
            <w:tcW w:w="3120" w:type="pct"/>
            <w:noWrap w:val="0"/>
            <w:vAlign w:val="center"/>
          </w:tcPr>
          <w:p w14:paraId="5B399182">
            <w:pPr>
              <w:pStyle w:val="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rPr>
              <w:t>供应商</w:t>
            </w:r>
            <w:r>
              <w:rPr>
                <w:rFonts w:hint="default" w:ascii="Times New Roman" w:hAnsi="Times New Roman" w:eastAsia="宋体" w:cs="Times New Roman"/>
                <w:sz w:val="24"/>
                <w:szCs w:val="24"/>
              </w:rPr>
              <w:t>所响应产品</w:t>
            </w:r>
            <w:r>
              <w:rPr>
                <w:rFonts w:hint="default" w:ascii="Times New Roman" w:hAnsi="Times New Roman" w:eastAsia="宋体" w:cs="Times New Roman"/>
                <w:kern w:val="2"/>
                <w:sz w:val="24"/>
                <w:szCs w:val="24"/>
              </w:rPr>
              <w:t>每满足一项用户需求书</w:t>
            </w:r>
            <w:r>
              <w:rPr>
                <w:rFonts w:hint="default" w:ascii="Times New Roman" w:hAnsi="Times New Roman" w:eastAsia="宋体" w:cs="Times New Roman"/>
                <w:b/>
                <w:sz w:val="24"/>
                <w:szCs w:val="24"/>
              </w:rPr>
              <w:t>“技术要求及参数”</w:t>
            </w:r>
            <w:r>
              <w:rPr>
                <w:rFonts w:hint="default" w:ascii="Times New Roman" w:hAnsi="Times New Roman" w:eastAsia="宋体" w:cs="Times New Roman"/>
                <w:kern w:val="2"/>
                <w:sz w:val="24"/>
                <w:szCs w:val="24"/>
              </w:rPr>
              <w:t>中不带“▲”号的</w:t>
            </w:r>
            <w:r>
              <w:rPr>
                <w:rFonts w:hint="default" w:ascii="Times New Roman" w:hAnsi="Times New Roman" w:eastAsia="宋体" w:cs="Times New Roman"/>
                <w:sz w:val="24"/>
                <w:szCs w:val="24"/>
              </w:rPr>
              <w:t>技术</w:t>
            </w:r>
            <w:r>
              <w:rPr>
                <w:rFonts w:hint="default" w:ascii="Times New Roman" w:hAnsi="Times New Roman" w:eastAsia="宋体" w:cs="Times New Roman"/>
                <w:kern w:val="2"/>
                <w:sz w:val="24"/>
                <w:szCs w:val="24"/>
              </w:rPr>
              <w:t>要求（共</w:t>
            </w:r>
            <w:r>
              <w:rPr>
                <w:rFonts w:hint="default" w:ascii="Times New Roman" w:hAnsi="Times New Roman" w:eastAsia="宋体" w:cs="Times New Roman"/>
                <w:kern w:val="2"/>
                <w:sz w:val="24"/>
                <w:szCs w:val="24"/>
                <w:lang w:val="en-US" w:eastAsia="zh-CN"/>
              </w:rPr>
              <w:t>14</w:t>
            </w:r>
            <w:r>
              <w:rPr>
                <w:rFonts w:hint="default" w:ascii="Times New Roman" w:hAnsi="Times New Roman" w:eastAsia="宋体" w:cs="Times New Roman"/>
                <w:kern w:val="2"/>
                <w:sz w:val="24"/>
                <w:szCs w:val="24"/>
              </w:rPr>
              <w:t>项），</w:t>
            </w:r>
            <w:r>
              <w:rPr>
                <w:rFonts w:hint="default" w:ascii="Times New Roman" w:hAnsi="Times New Roman" w:eastAsia="宋体" w:cs="Times New Roman"/>
                <w:sz w:val="24"/>
                <w:szCs w:val="24"/>
              </w:rPr>
              <w:t>得</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分，合计</w:t>
            </w:r>
            <w:r>
              <w:rPr>
                <w:rFonts w:hint="default"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分；</w:t>
            </w:r>
          </w:p>
        </w:tc>
        <w:tc>
          <w:tcPr>
            <w:tcW w:w="501" w:type="pct"/>
            <w:noWrap w:val="0"/>
            <w:vAlign w:val="center"/>
          </w:tcPr>
          <w:p w14:paraId="578233EF">
            <w:pPr>
              <w:pStyle w:val="6"/>
              <w:spacing w:line="360" w:lineRule="auto"/>
              <w:ind w:firstLine="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w:t>
            </w:r>
          </w:p>
        </w:tc>
      </w:tr>
      <w:tr w14:paraId="16FF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0C3A9A33">
            <w:pPr>
              <w:pStyle w:val="11"/>
              <w:numPr>
                <w:ilvl w:val="0"/>
                <w:numId w:val="0"/>
              </w:numPr>
              <w:autoSpaceDE/>
              <w:autoSpaceDN/>
              <w:snapToGrid w:val="0"/>
              <w:spacing w:line="240" w:lineRule="auto"/>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1058" w:type="pct"/>
            <w:noWrap w:val="0"/>
            <w:vAlign w:val="center"/>
          </w:tcPr>
          <w:p w14:paraId="11FEC29F">
            <w:pPr>
              <w:widowControl/>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质量管理及保障措施方案</w:t>
            </w:r>
          </w:p>
        </w:tc>
        <w:tc>
          <w:tcPr>
            <w:tcW w:w="3120" w:type="pct"/>
            <w:noWrap w:val="0"/>
            <w:vAlign w:val="center"/>
          </w:tcPr>
          <w:p w14:paraId="71ED5069">
            <w:pPr>
              <w:pStyle w:val="6"/>
              <w:spacing w:line="24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根据投标人所投产品的质量保证措施（包括但不限于货物生产、质检、出厂、运输、交货等环节）进行评分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投标人提供的质量保证，完全满足且优于采购需求的，得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分；不完全满足采购需求的，得1分；其他或不提供的，得0分。</w:t>
            </w:r>
          </w:p>
        </w:tc>
        <w:tc>
          <w:tcPr>
            <w:tcW w:w="501" w:type="pct"/>
            <w:noWrap w:val="0"/>
            <w:vAlign w:val="center"/>
          </w:tcPr>
          <w:p w14:paraId="79481240">
            <w:pPr>
              <w:pStyle w:val="6"/>
              <w:spacing w:line="360" w:lineRule="auto"/>
              <w:ind w:firstLine="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7</w:t>
            </w:r>
          </w:p>
        </w:tc>
      </w:tr>
      <w:tr w14:paraId="264E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1B577CB4">
            <w:pPr>
              <w:pStyle w:val="11"/>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1058" w:type="pct"/>
            <w:noWrap w:val="0"/>
            <w:vAlign w:val="center"/>
          </w:tcPr>
          <w:p w14:paraId="5EA8F55A">
            <w:pPr>
              <w:widowControl/>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培训方案</w:t>
            </w:r>
          </w:p>
        </w:tc>
        <w:tc>
          <w:tcPr>
            <w:tcW w:w="3120" w:type="pct"/>
            <w:noWrap w:val="0"/>
            <w:vAlign w:val="center"/>
          </w:tcPr>
          <w:p w14:paraId="63C70B93">
            <w:pPr>
              <w:spacing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根据投标人所投产品的</w:t>
            </w:r>
            <w:r>
              <w:rPr>
                <w:rFonts w:hint="default" w:ascii="Times New Roman" w:hAnsi="Times New Roman" w:eastAsia="宋体" w:cs="Times New Roman"/>
                <w:sz w:val="24"/>
                <w:szCs w:val="24"/>
                <w:lang w:val="en-US" w:eastAsia="zh-CN"/>
              </w:rPr>
              <w:t>培训措施</w:t>
            </w:r>
            <w:r>
              <w:rPr>
                <w:rFonts w:hint="default" w:ascii="Times New Roman" w:hAnsi="Times New Roman" w:eastAsia="宋体" w:cs="Times New Roman"/>
                <w:sz w:val="24"/>
                <w:szCs w:val="24"/>
              </w:rPr>
              <w:t>，培训方案，完全满足且优于采购需求的，得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分；完全满足采购需求的，得3分；不完全满足采购需求的，得1分；其他或不提供的，得0分。</w:t>
            </w:r>
          </w:p>
        </w:tc>
        <w:tc>
          <w:tcPr>
            <w:tcW w:w="501" w:type="pct"/>
            <w:noWrap w:val="0"/>
            <w:vAlign w:val="center"/>
          </w:tcPr>
          <w:p w14:paraId="74AD3692">
            <w:pPr>
              <w:pStyle w:val="6"/>
              <w:spacing w:line="360" w:lineRule="auto"/>
              <w:ind w:firstLine="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7</w:t>
            </w:r>
          </w:p>
        </w:tc>
      </w:tr>
      <w:tr w14:paraId="401B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0" w:type="pct"/>
            <w:noWrap w:val="0"/>
            <w:vAlign w:val="center"/>
          </w:tcPr>
          <w:p w14:paraId="2E13F15C">
            <w:pPr>
              <w:pStyle w:val="11"/>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1058" w:type="pct"/>
            <w:noWrap w:val="0"/>
            <w:vAlign w:val="center"/>
          </w:tcPr>
          <w:p w14:paraId="7D0ED34F">
            <w:pPr>
              <w:widowControl/>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供应商供货能力</w:t>
            </w:r>
          </w:p>
        </w:tc>
        <w:tc>
          <w:tcPr>
            <w:tcW w:w="3120" w:type="pct"/>
            <w:noWrap w:val="0"/>
            <w:vAlign w:val="center"/>
          </w:tcPr>
          <w:p w14:paraId="546B1526">
            <w:pPr>
              <w:pStyle w:val="6"/>
              <w:pageBreakBefore w:val="0"/>
              <w:kinsoku/>
              <w:wordWrap/>
              <w:overflowPunct/>
              <w:topLinePunct w:val="0"/>
              <w:bidi w:val="0"/>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如供应商为所响应产品制造商或具有有效授权的代理经销商，得</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分，提供有效的制造商资格证明或授权证明材料并加盖投标人公章，如不提供，不得分。</w:t>
            </w:r>
          </w:p>
          <w:p w14:paraId="7ABDC766">
            <w:pPr>
              <w:pStyle w:val="6"/>
              <w:pageBreakBefore w:val="0"/>
              <w:kinsoku/>
              <w:wordWrap/>
              <w:overflowPunct/>
              <w:topLinePunct w:val="0"/>
              <w:bidi w:val="0"/>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投标人须提供所投产品原厂商出具的保修承诺函，并加盖投标人公章。未按要求提供承诺函的，本项不得分。</w:t>
            </w:r>
          </w:p>
          <w:p w14:paraId="51511BF9">
            <w:pPr>
              <w:pStyle w:val="6"/>
              <w:pageBreakBefore w:val="0"/>
              <w:kinsoku/>
              <w:wordWrap/>
              <w:overflowPunct/>
              <w:topLinePunct w:val="0"/>
              <w:bidi w:val="0"/>
              <w:spacing w:line="360" w:lineRule="auto"/>
              <w:ind w:firstLine="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（1）承诺自验收合格之日起，原厂质保年限为3年的，得3分；</w:t>
            </w:r>
          </w:p>
          <w:p w14:paraId="5E0EA222">
            <w:pPr>
              <w:pStyle w:val="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（2）在3年基础上，质保年限每增加1年，加1分，本项最高得分为5分。</w:t>
            </w:r>
          </w:p>
        </w:tc>
        <w:tc>
          <w:tcPr>
            <w:tcW w:w="501" w:type="pct"/>
            <w:noWrap w:val="0"/>
            <w:vAlign w:val="center"/>
          </w:tcPr>
          <w:p w14:paraId="37216E2F">
            <w:pPr>
              <w:pStyle w:val="6"/>
              <w:spacing w:line="360" w:lineRule="auto"/>
              <w:ind w:firstLine="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7</w:t>
            </w:r>
          </w:p>
        </w:tc>
      </w:tr>
      <w:tr w14:paraId="53A7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4A8131E3">
            <w:pPr>
              <w:pStyle w:val="11"/>
              <w:autoSpaceDE/>
              <w:autoSpaceDN/>
              <w:snapToGrid w:val="0"/>
              <w:spacing w:line="240" w:lineRule="auto"/>
              <w:ind w:firstLine="0" w:firstLineChars="0"/>
              <w:jc w:val="center"/>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sz w:val="24"/>
                <w:szCs w:val="24"/>
                <w:lang w:val="en-US" w:eastAsia="zh-CN" w:bidi="ar-SA"/>
              </w:rPr>
              <w:t>二</w:t>
            </w:r>
          </w:p>
        </w:tc>
        <w:tc>
          <w:tcPr>
            <w:tcW w:w="4679" w:type="pct"/>
            <w:gridSpan w:val="3"/>
            <w:noWrap w:val="0"/>
            <w:vAlign w:val="center"/>
          </w:tcPr>
          <w:p w14:paraId="711BDB50">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商务部分（合计15分）</w:t>
            </w:r>
          </w:p>
        </w:tc>
      </w:tr>
      <w:tr w14:paraId="6DC2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230BD40F">
            <w:pPr>
              <w:pStyle w:val="11"/>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058" w:type="pct"/>
            <w:noWrap w:val="0"/>
            <w:vAlign w:val="center"/>
          </w:tcPr>
          <w:p w14:paraId="7D2FD03A">
            <w:pPr>
              <w:tabs>
                <w:tab w:val="left" w:pos="840"/>
              </w:tabs>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售后服务方案</w:t>
            </w:r>
          </w:p>
        </w:tc>
        <w:tc>
          <w:tcPr>
            <w:tcW w:w="3120" w:type="pct"/>
            <w:noWrap w:val="0"/>
            <w:vAlign w:val="center"/>
          </w:tcPr>
          <w:p w14:paraId="3D6192C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根据投标人提供售后服务的能力（包括质保期、维护保养方案是否完善具体，各阶段服务计划（履约进度表）是否详尽等），综合评价优</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分，次之3分，</w:t>
            </w:r>
            <w:r>
              <w:rPr>
                <w:rFonts w:hint="default" w:ascii="Times New Roman" w:hAnsi="Times New Roman" w:eastAsia="宋体" w:cs="Times New Roman"/>
                <w:sz w:val="24"/>
                <w:szCs w:val="24"/>
                <w:lang w:val="en-US" w:eastAsia="zh-CN"/>
              </w:rPr>
              <w:t>若</w:t>
            </w:r>
            <w:r>
              <w:rPr>
                <w:rFonts w:hint="default" w:ascii="Times New Roman" w:hAnsi="Times New Roman" w:eastAsia="宋体" w:cs="Times New Roman"/>
                <w:sz w:val="24"/>
                <w:szCs w:val="24"/>
              </w:rPr>
              <w:t>没有具体承诺或不提供方案的不得分。</w:t>
            </w:r>
          </w:p>
        </w:tc>
        <w:tc>
          <w:tcPr>
            <w:tcW w:w="501" w:type="pct"/>
            <w:noWrap w:val="0"/>
            <w:vAlign w:val="center"/>
          </w:tcPr>
          <w:p w14:paraId="7D045AE8">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5</w:t>
            </w:r>
          </w:p>
        </w:tc>
      </w:tr>
      <w:tr w14:paraId="3E12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0B56FA52">
            <w:pPr>
              <w:pStyle w:val="11"/>
              <w:numPr>
                <w:ilvl w:val="0"/>
                <w:numId w:val="0"/>
              </w:numPr>
              <w:autoSpaceDE/>
              <w:autoSpaceDN/>
              <w:snapToGrid w:val="0"/>
              <w:spacing w:line="240" w:lineRule="auto"/>
              <w:ind w:firstLine="0" w:firstLineChars="0"/>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1058" w:type="pct"/>
            <w:noWrap w:val="0"/>
            <w:vAlign w:val="center"/>
          </w:tcPr>
          <w:p w14:paraId="6638F45D">
            <w:pPr>
              <w:tabs>
                <w:tab w:val="left" w:pos="840"/>
              </w:tabs>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自202</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年1月1日以来的设备业绩和信誉</w:t>
            </w:r>
          </w:p>
        </w:tc>
        <w:tc>
          <w:tcPr>
            <w:tcW w:w="3120" w:type="pct"/>
            <w:noWrap w:val="0"/>
            <w:vAlign w:val="center"/>
          </w:tcPr>
          <w:p w14:paraId="6F0EA0CC">
            <w:pPr>
              <w:spacing w:line="360" w:lineRule="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每提供一项</w:t>
            </w:r>
            <w:r>
              <w:rPr>
                <w:rFonts w:hint="default" w:ascii="Times New Roman" w:hAnsi="Times New Roman" w:eastAsia="宋体" w:cs="Times New Roman"/>
                <w:sz w:val="24"/>
                <w:szCs w:val="24"/>
                <w:lang w:val="en-US" w:eastAsia="zh-CN"/>
              </w:rPr>
              <w:t>设备</w:t>
            </w:r>
            <w:r>
              <w:rPr>
                <w:rFonts w:hint="default" w:ascii="Times New Roman" w:hAnsi="Times New Roman" w:eastAsia="宋体" w:cs="Times New Roman"/>
                <w:sz w:val="24"/>
                <w:szCs w:val="24"/>
                <w:lang w:val="zh-CN"/>
              </w:rPr>
              <w:t>业绩的合同和中标通知书复印件并加盖公章得</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zh-CN"/>
              </w:rPr>
              <w:t>分，最高得</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zh-CN"/>
              </w:rPr>
              <w:t xml:space="preserve">分，不提供不得分。 </w:t>
            </w:r>
          </w:p>
          <w:p w14:paraId="00939A42">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注：以合同签订时间为准。</w:t>
            </w:r>
          </w:p>
          <w:p w14:paraId="1B8635C0">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1.要求同时提供合同关键信息（含首页、签字页）</w:t>
            </w:r>
            <w:r>
              <w:rPr>
                <w:rFonts w:hint="default" w:ascii="Times New Roman" w:hAnsi="Times New Roman" w:eastAsia="宋体" w:cs="Times New Roman"/>
                <w:sz w:val="24"/>
                <w:szCs w:val="24"/>
                <w:lang w:val="zh-CN"/>
              </w:rPr>
              <w:t>和中标通知书</w:t>
            </w:r>
            <w:r>
              <w:rPr>
                <w:rFonts w:hint="default" w:ascii="Times New Roman" w:hAnsi="Times New Roman" w:eastAsia="宋体" w:cs="Times New Roman"/>
                <w:sz w:val="24"/>
                <w:szCs w:val="24"/>
              </w:rPr>
              <w:t>证明文件作为得分依据。</w:t>
            </w:r>
          </w:p>
          <w:p w14:paraId="48C1231F">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.资料均要求提供扫描件加盖投标人公章。评分中出现无证明资料或专家无法凭所提供资料判断是否得分的情况，一律作不得分处理。</w:t>
            </w:r>
          </w:p>
        </w:tc>
        <w:tc>
          <w:tcPr>
            <w:tcW w:w="501" w:type="pct"/>
            <w:noWrap w:val="0"/>
            <w:vAlign w:val="center"/>
          </w:tcPr>
          <w:p w14:paraId="5C192E46">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6</w:t>
            </w:r>
          </w:p>
        </w:tc>
      </w:tr>
      <w:tr w14:paraId="0311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2E462A17">
            <w:pPr>
              <w:pStyle w:val="11"/>
              <w:numPr>
                <w:ilvl w:val="0"/>
                <w:numId w:val="0"/>
              </w:numPr>
              <w:autoSpaceDE/>
              <w:autoSpaceDN/>
              <w:snapToGrid w:val="0"/>
              <w:spacing w:line="360" w:lineRule="auto"/>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1058" w:type="pct"/>
            <w:noWrap w:val="0"/>
            <w:vAlign w:val="center"/>
          </w:tcPr>
          <w:p w14:paraId="42046CC0">
            <w:pPr>
              <w:tabs>
                <w:tab w:val="left" w:pos="840"/>
              </w:tabs>
              <w:spacing w:line="360"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使用用户评价</w:t>
            </w:r>
          </w:p>
        </w:tc>
        <w:tc>
          <w:tcPr>
            <w:tcW w:w="3120" w:type="pct"/>
            <w:noWrap w:val="0"/>
            <w:vAlign w:val="center"/>
          </w:tcPr>
          <w:p w14:paraId="3AD9A1EA">
            <w:pPr>
              <w:widowControl/>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提供使用用户评价，每提供一个类似“满意”或“非常满意”或“优”的使用用户评价得</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分，本项最高不超过4分。须提供用户单位的评价证明（格式自拟，须加盖用户单位印章）</w:t>
            </w:r>
          </w:p>
        </w:tc>
        <w:tc>
          <w:tcPr>
            <w:tcW w:w="501" w:type="pct"/>
            <w:noWrap w:val="0"/>
            <w:vAlign w:val="center"/>
          </w:tcPr>
          <w:p w14:paraId="3E37C956">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r>
      <w:tr w14:paraId="2D53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1FED3284">
            <w:pPr>
              <w:pStyle w:val="11"/>
              <w:numPr>
                <w:ilvl w:val="0"/>
                <w:numId w:val="0"/>
              </w:numPr>
              <w:autoSpaceDE/>
              <w:autoSpaceDN/>
              <w:snapToGrid w:val="0"/>
              <w:spacing w:line="240" w:lineRule="auto"/>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w:t>
            </w:r>
          </w:p>
        </w:tc>
        <w:tc>
          <w:tcPr>
            <w:tcW w:w="4679" w:type="pct"/>
            <w:gridSpan w:val="3"/>
            <w:noWrap w:val="0"/>
            <w:vAlign w:val="center"/>
          </w:tcPr>
          <w:p w14:paraId="192DCB4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sz w:val="24"/>
                <w:szCs w:val="24"/>
                <w:lang w:val="en-US" w:eastAsia="zh-CN"/>
              </w:rPr>
              <w:t>报价</w:t>
            </w:r>
            <w:r>
              <w:rPr>
                <w:rFonts w:hint="default" w:ascii="Times New Roman" w:hAnsi="Times New Roman" w:eastAsia="宋体" w:cs="Times New Roman"/>
                <w:b/>
                <w:sz w:val="24"/>
                <w:szCs w:val="24"/>
              </w:rPr>
              <w:t>部分（合计</w:t>
            </w:r>
            <w:r>
              <w:rPr>
                <w:rFonts w:hint="default" w:ascii="Times New Roman" w:hAnsi="Times New Roman" w:eastAsia="宋体" w:cs="Times New Roman"/>
                <w:b/>
                <w:sz w:val="24"/>
                <w:szCs w:val="24"/>
                <w:lang w:val="en-US" w:eastAsia="zh-CN"/>
              </w:rPr>
              <w:t>30</w:t>
            </w:r>
            <w:r>
              <w:rPr>
                <w:rFonts w:hint="default" w:ascii="Times New Roman" w:hAnsi="Times New Roman" w:eastAsia="宋体" w:cs="Times New Roman"/>
                <w:b/>
                <w:sz w:val="24"/>
                <w:szCs w:val="24"/>
              </w:rPr>
              <w:t>分）</w:t>
            </w:r>
          </w:p>
        </w:tc>
      </w:tr>
      <w:tr w14:paraId="3BCC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25272F9D">
            <w:pPr>
              <w:pStyle w:val="11"/>
              <w:numPr>
                <w:ilvl w:val="0"/>
                <w:numId w:val="0"/>
              </w:numPr>
              <w:autoSpaceDE/>
              <w:autoSpaceDN/>
              <w:snapToGrid w:val="0"/>
              <w:spacing w:line="240" w:lineRule="auto"/>
              <w:jc w:val="center"/>
              <w:textAlignment w:val="baseline"/>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w:t>
            </w:r>
          </w:p>
        </w:tc>
        <w:tc>
          <w:tcPr>
            <w:tcW w:w="1058" w:type="pct"/>
            <w:noWrap w:val="0"/>
            <w:vAlign w:val="center"/>
          </w:tcPr>
          <w:p w14:paraId="12D80C31">
            <w:pPr>
              <w:tabs>
                <w:tab w:val="left" w:pos="840"/>
              </w:tabs>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投标报价得分</w:t>
            </w:r>
          </w:p>
        </w:tc>
        <w:tc>
          <w:tcPr>
            <w:tcW w:w="3120" w:type="pct"/>
            <w:noWrap w:val="0"/>
            <w:vAlign w:val="center"/>
          </w:tcPr>
          <w:p w14:paraId="125F7012">
            <w:pPr>
              <w:widowControl/>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投标报价得分＝（评标基准价/投标报价）×价格分值</w:t>
            </w:r>
          </w:p>
          <w:p w14:paraId="706F1D74">
            <w:pPr>
              <w:widowControl/>
              <w:spacing w:line="360" w:lineRule="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备注：投标报价得分四舍五入后，小数点后保留两位有效数</w:t>
            </w:r>
          </w:p>
        </w:tc>
        <w:tc>
          <w:tcPr>
            <w:tcW w:w="501" w:type="pct"/>
            <w:noWrap w:val="0"/>
            <w:vAlign w:val="center"/>
          </w:tcPr>
          <w:p w14:paraId="0787D84C">
            <w:pPr>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30</w:t>
            </w:r>
          </w:p>
        </w:tc>
      </w:tr>
      <w:tr w14:paraId="5A41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4D7B15A6">
            <w:pPr>
              <w:widowControl/>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501" w:type="pct"/>
            <w:noWrap w:val="0"/>
            <w:vAlign w:val="center"/>
          </w:tcPr>
          <w:p w14:paraId="33C7C5E1">
            <w:pPr>
              <w:widowControl/>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100分</w:t>
            </w:r>
          </w:p>
        </w:tc>
      </w:tr>
    </w:tbl>
    <w:p w14:paraId="78835FB8">
      <w:r>
        <w:rPr>
          <w:rFonts w:hint="default" w:ascii="Times New Roman" w:hAnsi="Times New Roman" w:cs="Times New Roma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B7BFB"/>
    <w:rsid w:val="28187A54"/>
    <w:rsid w:val="3D3440FA"/>
    <w:rsid w:val="413A2C90"/>
    <w:rsid w:val="7C2B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2026-05-18T09:32:00Z</dcterms:created>
  <dc:creator>卑微小虎崽</dc:creator>
  <cp:lastModifiedBy>卑微小虎崽</cp:lastModifiedBy>
  <dcterms:modified xsi:type="dcterms:W3CDTF">2026-05-18T09:37:57Z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60A9573B77FC4E1597728E26B9B675DE_13</vt:lpwstr>
  </property>
  <property fmtid="{D5CDD505-2E9C-101B-9397-08002B2CF9AE}" pid="4" name="KSOTemplateDocerSaveRecord">
    <vt:lpwstr>eyJoZGlkIjoiYzZkNzQ4ZWFiZmQ4NTRhOWRkZTk3YTMwMjlmMmZhYmUiLCJ1c2VySWQiOiIxMzQ0MTYwMDk1In0=</vt:lpwstr>
  </property>
</Properties>
</file>