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18D2E7">
      <w:pPr>
        <w:keepNext w:val="0"/>
        <w:keepLines w:val="0"/>
        <w:pageBreakBefore w:val="0"/>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color w:val="000000"/>
          <w:sz w:val="32"/>
          <w:szCs w:val="32"/>
          <w:shd w:val="clear" w:color="auto" w:fill="FFFFFF"/>
          <w:lang w:val="en-US" w:eastAsia="zh-CN"/>
        </w:rPr>
      </w:pPr>
      <w:r>
        <w:rPr>
          <w:rFonts w:hint="default" w:ascii="Times New Roman" w:hAnsi="Times New Roman" w:eastAsia="仿宋_GB2312" w:cs="Times New Roman"/>
          <w:color w:val="000000"/>
          <w:sz w:val="32"/>
          <w:szCs w:val="32"/>
          <w:shd w:val="clear" w:color="auto" w:fill="FFFFFF"/>
          <w:lang w:val="en-US" w:eastAsia="zh-CN"/>
        </w:rPr>
        <w:t>附件2：</w:t>
      </w:r>
    </w:p>
    <w:p w14:paraId="46ACAD7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2650" w:firstLineChars="600"/>
        <w:jc w:val="both"/>
        <w:textAlignment w:val="auto"/>
        <w:rPr>
          <w:rFonts w:hint="default" w:ascii="Times New Roman" w:hAnsi="Times New Roman" w:cs="Times New Roman" w:eastAsiaTheme="minorEastAsia"/>
          <w:szCs w:val="24"/>
        </w:rPr>
      </w:pPr>
      <w:r>
        <w:rPr>
          <w:rFonts w:hint="default" w:ascii="Times New Roman" w:hAnsi="Times New Roman" w:cs="Times New Roman" w:eastAsiaTheme="minorEastAsia"/>
          <w:b/>
          <w:sz w:val="44"/>
          <w:szCs w:val="24"/>
        </w:rPr>
        <w:t>合　同　书（货物）</w:t>
      </w:r>
    </w:p>
    <w:p w14:paraId="59F68BD0">
      <w:pPr>
        <w:pStyle w:val="12"/>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color w:val="222222"/>
          <w:sz w:val="28"/>
          <w:lang w:val="en-US" w:eastAsia="zh-CN"/>
        </w:rPr>
      </w:pPr>
      <w:r>
        <w:rPr>
          <w:rFonts w:hint="default" w:ascii="Times New Roman" w:hAnsi="Times New Roman" w:cs="Times New Roman"/>
          <w:color w:val="222222"/>
          <w:sz w:val="28"/>
        </w:rPr>
        <w:t>项目名称：</w:t>
      </w:r>
      <w:r>
        <w:rPr>
          <w:rFonts w:hint="default" w:ascii="Times New Roman" w:hAnsi="Times New Roman" w:cs="Times New Roman"/>
          <w:color w:val="222222"/>
          <w:sz w:val="28"/>
          <w:lang w:val="en-US" w:eastAsia="zh-CN"/>
        </w:rPr>
        <w:t>广东省第一荣军优抚医院一氧化氮治疗仪采购项目</w:t>
      </w:r>
    </w:p>
    <w:p w14:paraId="75346A6F">
      <w:pPr>
        <w:pStyle w:val="12"/>
        <w:keepNext w:val="0"/>
        <w:keepLines w:val="0"/>
        <w:pageBreakBefore w:val="0"/>
        <w:kinsoku/>
        <w:wordWrap/>
        <w:overflowPunct/>
        <w:topLinePunct w:val="0"/>
        <w:autoSpaceDE/>
        <w:autoSpaceDN/>
        <w:bidi w:val="0"/>
        <w:adjustRightInd/>
        <w:snapToGrid/>
        <w:spacing w:line="500" w:lineRule="exact"/>
        <w:textAlignment w:val="auto"/>
        <w:rPr>
          <w:rFonts w:hint="default" w:ascii="Times New Roman" w:hAnsi="Times New Roman" w:cs="Times New Roman"/>
          <w:b/>
          <w:sz w:val="24"/>
        </w:rPr>
      </w:pPr>
    </w:p>
    <w:p w14:paraId="58AD1AC2">
      <w:pPr>
        <w:pStyle w:val="12"/>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b/>
          <w:sz w:val="24"/>
        </w:rPr>
        <w:t>甲　　方：</w:t>
      </w:r>
      <w:r>
        <w:rPr>
          <w:rFonts w:hint="default" w:ascii="Times New Roman" w:hAnsi="Times New Roman" w:cs="Times New Roman"/>
          <w:b/>
          <w:sz w:val="24"/>
          <w:lang w:eastAsia="zh-CN"/>
        </w:rPr>
        <w:t>广东省第一荣军优抚医院</w:t>
      </w:r>
    </w:p>
    <w:p w14:paraId="0E64000B">
      <w:pPr>
        <w:pStyle w:val="12"/>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Times New Roman" w:hAnsi="Times New Roman" w:cs="Times New Roman"/>
          <w:sz w:val="24"/>
        </w:rPr>
      </w:pPr>
      <w:r>
        <w:rPr>
          <w:rFonts w:hint="default" w:ascii="Times New Roman" w:hAnsi="Times New Roman" w:cs="Times New Roman"/>
          <w:sz w:val="24"/>
        </w:rPr>
        <w:t>电　　话：</w:t>
      </w:r>
      <w:r>
        <w:rPr>
          <w:rFonts w:hint="default" w:ascii="Times New Roman" w:hAnsi="Times New Roman" w:cs="Times New Roman"/>
          <w:sz w:val="24"/>
          <w:lang w:val="en-US" w:eastAsia="zh-CN"/>
        </w:rPr>
        <w:t>020-84187600-2609</w:t>
      </w:r>
      <w:r>
        <w:rPr>
          <w:rFonts w:hint="default" w:ascii="Times New Roman" w:hAnsi="Times New Roman" w:cs="Times New Roman"/>
          <w:sz w:val="24"/>
        </w:rPr>
        <w:t>　　</w:t>
      </w:r>
    </w:p>
    <w:p w14:paraId="5EB90C58">
      <w:pPr>
        <w:pStyle w:val="12"/>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sz w:val="24"/>
        </w:rPr>
        <w:t>地　　址：</w:t>
      </w:r>
      <w:r>
        <w:rPr>
          <w:rFonts w:hint="default" w:ascii="Times New Roman" w:hAnsi="Times New Roman" w:cs="Times New Roman"/>
          <w:sz w:val="24"/>
          <w:lang w:eastAsia="zh-CN"/>
        </w:rPr>
        <w:t>广州市海珠区新港西路</w:t>
      </w:r>
      <w:r>
        <w:rPr>
          <w:rFonts w:hint="default" w:ascii="Times New Roman" w:hAnsi="Times New Roman" w:cs="Times New Roman"/>
          <w:sz w:val="24"/>
          <w:lang w:val="en-US" w:eastAsia="zh-CN"/>
        </w:rPr>
        <w:t>114号</w:t>
      </w:r>
    </w:p>
    <w:p w14:paraId="19DC6CCF">
      <w:pPr>
        <w:pStyle w:val="12"/>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Times New Roman" w:hAnsi="Times New Roman" w:cs="Times New Roman"/>
          <w:b/>
          <w:sz w:val="24"/>
        </w:rPr>
      </w:pPr>
    </w:p>
    <w:p w14:paraId="05D16C51">
      <w:pPr>
        <w:pStyle w:val="12"/>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Times New Roman" w:hAnsi="Times New Roman" w:cs="Times New Roman" w:eastAsiaTheme="minorEastAsia"/>
          <w:lang w:eastAsia="zh-CN"/>
        </w:rPr>
      </w:pPr>
      <w:r>
        <w:rPr>
          <w:rFonts w:hint="default" w:ascii="Times New Roman" w:hAnsi="Times New Roman" w:cs="Times New Roman"/>
          <w:b/>
          <w:sz w:val="24"/>
        </w:rPr>
        <w:t>乙　　方：</w:t>
      </w:r>
      <w:r>
        <w:rPr>
          <w:rFonts w:hint="default" w:ascii="Times New Roman" w:hAnsi="Times New Roman" w:cs="Times New Roman"/>
          <w:b/>
          <w:sz w:val="24"/>
          <w:u w:val="single"/>
          <w:lang w:val="en-US" w:eastAsia="zh-CN"/>
        </w:rPr>
        <w:t>XX公司</w:t>
      </w:r>
    </w:p>
    <w:p w14:paraId="74462962">
      <w:pPr>
        <w:pStyle w:val="12"/>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Times New Roman" w:hAnsi="Times New Roman" w:cs="Times New Roman"/>
          <w:sz w:val="24"/>
        </w:rPr>
      </w:pPr>
      <w:r>
        <w:rPr>
          <w:rFonts w:hint="default" w:ascii="Times New Roman" w:hAnsi="Times New Roman" w:cs="Times New Roman"/>
          <w:sz w:val="24"/>
        </w:rPr>
        <w:t>电　　话：　　</w:t>
      </w:r>
    </w:p>
    <w:p w14:paraId="15197EE6">
      <w:pPr>
        <w:pStyle w:val="12"/>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Times New Roman" w:hAnsi="Times New Roman" w:cs="Times New Roman" w:eastAsiaTheme="minorEastAsia"/>
          <w:sz w:val="24"/>
          <w:lang w:eastAsia="zh-CN"/>
        </w:rPr>
      </w:pPr>
      <w:r>
        <w:rPr>
          <w:rFonts w:hint="default" w:ascii="Times New Roman" w:hAnsi="Times New Roman" w:cs="Times New Roman"/>
          <w:sz w:val="24"/>
        </w:rPr>
        <w:t>地　　址：</w:t>
      </w:r>
    </w:p>
    <w:p w14:paraId="36D0DDE6">
      <w:pPr>
        <w:pStyle w:val="12"/>
        <w:pageBreakBefore w:val="0"/>
        <w:kinsoku/>
        <w:wordWrap/>
        <w:overflowPunct/>
        <w:topLinePunct w:val="0"/>
        <w:autoSpaceDE/>
        <w:autoSpaceDN/>
        <w:bidi w:val="0"/>
        <w:spacing w:line="400" w:lineRule="exact"/>
        <w:textAlignment w:val="auto"/>
        <w:rPr>
          <w:rFonts w:hint="default" w:ascii="Times New Roman" w:hAnsi="Times New Roman" w:cs="Times New Roman"/>
          <w:sz w:val="24"/>
        </w:rPr>
      </w:pPr>
    </w:p>
    <w:p w14:paraId="6764E70B">
      <w:pPr>
        <w:pStyle w:val="12"/>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sz w:val="24"/>
        </w:rPr>
        <w:t>根据</w:t>
      </w:r>
      <w:r>
        <w:rPr>
          <w:rFonts w:hint="default" w:ascii="Times New Roman" w:hAnsi="Times New Roman" w:cs="Times New Roman"/>
          <w:sz w:val="24"/>
          <w:u w:val="single"/>
        </w:rPr>
        <w:t>广东省第一荣军优抚医院</w:t>
      </w:r>
      <w:r>
        <w:rPr>
          <w:rFonts w:hint="default" w:ascii="Times New Roman" w:hAnsi="Times New Roman" w:cs="Times New Roman"/>
          <w:sz w:val="24"/>
          <w:u w:val="single"/>
          <w:lang w:val="en-US" w:eastAsia="zh-CN"/>
        </w:rPr>
        <w:t>一氧化氮治疗仪</w:t>
      </w:r>
      <w:r>
        <w:rPr>
          <w:rFonts w:hint="default" w:ascii="Times New Roman" w:hAnsi="Times New Roman" w:cs="Times New Roman"/>
          <w:sz w:val="24"/>
          <w:u w:val="single"/>
        </w:rPr>
        <w:t>采购项目</w:t>
      </w:r>
      <w:r>
        <w:rPr>
          <w:rFonts w:hint="default" w:ascii="Times New Roman" w:hAnsi="Times New Roman" w:cs="Times New Roman"/>
          <w:sz w:val="24"/>
        </w:rPr>
        <w:t>的采购结果，按照《中华人民共和国政府采购法》《中华人民共和国民法典</w:t>
      </w:r>
      <w:r>
        <w:rPr>
          <w:rFonts w:hint="default" w:ascii="Times New Roman" w:hAnsi="Times New Roman" w:cs="Times New Roman"/>
          <w:sz w:val="24"/>
          <w:lang w:eastAsia="zh-CN"/>
        </w:rPr>
        <w:t>（</w:t>
      </w:r>
      <w:r>
        <w:rPr>
          <w:rFonts w:hint="default" w:ascii="Times New Roman" w:hAnsi="Times New Roman" w:cs="Times New Roman"/>
          <w:sz w:val="24"/>
        </w:rPr>
        <w:t>合同编</w:t>
      </w:r>
      <w:r>
        <w:rPr>
          <w:rFonts w:hint="default" w:ascii="Times New Roman" w:hAnsi="Times New Roman" w:cs="Times New Roman"/>
          <w:sz w:val="24"/>
          <w:lang w:eastAsia="zh-CN"/>
        </w:rPr>
        <w:t>）</w:t>
      </w:r>
      <w:r>
        <w:rPr>
          <w:rFonts w:hint="default" w:ascii="Times New Roman" w:hAnsi="Times New Roman" w:cs="Times New Roman"/>
          <w:sz w:val="24"/>
        </w:rPr>
        <w:t>》的规定，经双方协商，本着平等互利和诚实信用的原则，一致同意签订本合同如下。</w:t>
      </w:r>
    </w:p>
    <w:p w14:paraId="1437D94B">
      <w:pPr>
        <w:pStyle w:val="12"/>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b/>
          <w:sz w:val="24"/>
        </w:rPr>
        <w:t>一、货物内容</w:t>
      </w:r>
    </w:p>
    <w:tbl>
      <w:tblPr>
        <w:tblStyle w:val="8"/>
        <w:tblW w:w="96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5"/>
        <w:gridCol w:w="2616"/>
        <w:gridCol w:w="852"/>
        <w:gridCol w:w="780"/>
        <w:gridCol w:w="888"/>
        <w:gridCol w:w="1608"/>
        <w:gridCol w:w="1607"/>
      </w:tblGrid>
      <w:tr w14:paraId="60999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5" w:type="dxa"/>
            <w:tcMar>
              <w:top w:w="45" w:type="dxa"/>
              <w:left w:w="75" w:type="dxa"/>
              <w:bottom w:w="30" w:type="dxa"/>
              <w:right w:w="75" w:type="dxa"/>
            </w:tcMar>
            <w:vAlign w:val="center"/>
          </w:tcPr>
          <w:p w14:paraId="6E170E7B">
            <w:pPr>
              <w:pStyle w:val="12"/>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名称</w:t>
            </w:r>
          </w:p>
        </w:tc>
        <w:tc>
          <w:tcPr>
            <w:tcW w:w="2616" w:type="dxa"/>
            <w:tcMar>
              <w:top w:w="45" w:type="dxa"/>
              <w:left w:w="75" w:type="dxa"/>
              <w:bottom w:w="30" w:type="dxa"/>
              <w:right w:w="75" w:type="dxa"/>
            </w:tcMar>
            <w:vAlign w:val="center"/>
          </w:tcPr>
          <w:p w14:paraId="4B4F2911">
            <w:pPr>
              <w:pStyle w:val="12"/>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品牌、规格、标准/主要服务内容</w:t>
            </w:r>
          </w:p>
        </w:tc>
        <w:tc>
          <w:tcPr>
            <w:tcW w:w="852" w:type="dxa"/>
            <w:tcMar>
              <w:top w:w="45" w:type="dxa"/>
              <w:left w:w="75" w:type="dxa"/>
              <w:bottom w:w="30" w:type="dxa"/>
              <w:right w:w="75" w:type="dxa"/>
            </w:tcMar>
            <w:vAlign w:val="center"/>
          </w:tcPr>
          <w:p w14:paraId="6B5FB89C">
            <w:pPr>
              <w:pStyle w:val="12"/>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产地</w:t>
            </w:r>
          </w:p>
        </w:tc>
        <w:tc>
          <w:tcPr>
            <w:tcW w:w="780" w:type="dxa"/>
            <w:tcMar>
              <w:top w:w="45" w:type="dxa"/>
              <w:left w:w="75" w:type="dxa"/>
              <w:bottom w:w="30" w:type="dxa"/>
              <w:right w:w="75" w:type="dxa"/>
            </w:tcMar>
            <w:vAlign w:val="center"/>
          </w:tcPr>
          <w:p w14:paraId="441F52AD">
            <w:pPr>
              <w:pStyle w:val="12"/>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数量</w:t>
            </w:r>
          </w:p>
        </w:tc>
        <w:tc>
          <w:tcPr>
            <w:tcW w:w="888" w:type="dxa"/>
            <w:tcMar>
              <w:top w:w="45" w:type="dxa"/>
              <w:left w:w="75" w:type="dxa"/>
              <w:bottom w:w="30" w:type="dxa"/>
              <w:right w:w="75" w:type="dxa"/>
            </w:tcMar>
            <w:vAlign w:val="center"/>
          </w:tcPr>
          <w:p w14:paraId="2C28E5E9">
            <w:pPr>
              <w:pStyle w:val="12"/>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单位</w:t>
            </w:r>
          </w:p>
        </w:tc>
        <w:tc>
          <w:tcPr>
            <w:tcW w:w="1608" w:type="dxa"/>
            <w:tcMar>
              <w:top w:w="45" w:type="dxa"/>
              <w:left w:w="75" w:type="dxa"/>
              <w:bottom w:w="30" w:type="dxa"/>
              <w:right w:w="75" w:type="dxa"/>
            </w:tcMar>
            <w:vAlign w:val="center"/>
          </w:tcPr>
          <w:p w14:paraId="02BCDF63">
            <w:pPr>
              <w:pStyle w:val="12"/>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单价</w:t>
            </w:r>
          </w:p>
          <w:p w14:paraId="01362051">
            <w:pPr>
              <w:pStyle w:val="12"/>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（元）</w:t>
            </w:r>
          </w:p>
        </w:tc>
        <w:tc>
          <w:tcPr>
            <w:tcW w:w="1607" w:type="dxa"/>
            <w:tcMar>
              <w:top w:w="45" w:type="dxa"/>
              <w:left w:w="75" w:type="dxa"/>
              <w:bottom w:w="30" w:type="dxa"/>
              <w:right w:w="75" w:type="dxa"/>
            </w:tcMar>
            <w:vAlign w:val="center"/>
          </w:tcPr>
          <w:p w14:paraId="746AA6AC">
            <w:pPr>
              <w:pStyle w:val="12"/>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金额</w:t>
            </w:r>
          </w:p>
          <w:p w14:paraId="5C9037E4">
            <w:pPr>
              <w:pStyle w:val="12"/>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（元）</w:t>
            </w:r>
          </w:p>
        </w:tc>
      </w:tr>
      <w:tr w14:paraId="68AA4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5" w:type="dxa"/>
            <w:tcMar>
              <w:top w:w="45" w:type="dxa"/>
              <w:left w:w="75" w:type="dxa"/>
              <w:bottom w:w="45" w:type="dxa"/>
              <w:right w:w="75" w:type="dxa"/>
            </w:tcMar>
            <w:vAlign w:val="center"/>
          </w:tcPr>
          <w:p w14:paraId="2D744CA9">
            <w:pPr>
              <w:pageBreakBefore w:val="0"/>
              <w:kinsoku/>
              <w:wordWrap/>
              <w:overflowPunct/>
              <w:topLinePunct w:val="0"/>
              <w:autoSpaceDE/>
              <w:autoSpaceDN/>
              <w:bidi w:val="0"/>
              <w:spacing w:line="400" w:lineRule="exact"/>
              <w:jc w:val="center"/>
              <w:textAlignment w:val="auto"/>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一氧化氮治疗仪</w:t>
            </w:r>
          </w:p>
        </w:tc>
        <w:tc>
          <w:tcPr>
            <w:tcW w:w="2616" w:type="dxa"/>
            <w:tcMar>
              <w:top w:w="45" w:type="dxa"/>
              <w:left w:w="75" w:type="dxa"/>
              <w:bottom w:w="45" w:type="dxa"/>
              <w:right w:w="75" w:type="dxa"/>
            </w:tcMar>
            <w:vAlign w:val="center"/>
          </w:tcPr>
          <w:p w14:paraId="0E735321">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color w:val="auto"/>
                <w:sz w:val="24"/>
                <w:szCs w:val="24"/>
                <w:lang w:val="en-US" w:eastAsia="zh-CN"/>
              </w:rPr>
              <w:t>品牌：</w:t>
            </w:r>
          </w:p>
          <w:p w14:paraId="6AE642DD">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sz w:val="24"/>
                <w:szCs w:val="24"/>
                <w:lang w:val="en-US"/>
              </w:rPr>
            </w:pPr>
            <w:r>
              <w:rPr>
                <w:rFonts w:hint="default" w:ascii="Times New Roman" w:hAnsi="Times New Roman" w:cs="Times New Roman" w:eastAsiaTheme="minorEastAsia"/>
                <w:sz w:val="24"/>
                <w:szCs w:val="24"/>
                <w:lang w:val="en-US" w:eastAsia="zh-CN"/>
              </w:rPr>
              <w:t>型号：</w:t>
            </w:r>
          </w:p>
        </w:tc>
        <w:tc>
          <w:tcPr>
            <w:tcW w:w="852" w:type="dxa"/>
            <w:tcMar>
              <w:top w:w="45" w:type="dxa"/>
              <w:left w:w="75" w:type="dxa"/>
              <w:bottom w:w="45" w:type="dxa"/>
              <w:right w:w="75" w:type="dxa"/>
            </w:tcMar>
            <w:vAlign w:val="center"/>
          </w:tcPr>
          <w:p w14:paraId="70895346">
            <w:pPr>
              <w:pageBreakBefore w:val="0"/>
              <w:kinsoku/>
              <w:wordWrap/>
              <w:overflowPunct/>
              <w:topLinePunct w:val="0"/>
              <w:autoSpaceDE/>
              <w:autoSpaceDN/>
              <w:bidi w:val="0"/>
              <w:spacing w:line="400" w:lineRule="exact"/>
              <w:jc w:val="center"/>
              <w:textAlignment w:val="auto"/>
              <w:rPr>
                <w:rFonts w:hint="default" w:ascii="Times New Roman" w:hAnsi="Times New Roman" w:cs="Times New Roman" w:eastAsiaTheme="minorEastAsia"/>
                <w:sz w:val="24"/>
                <w:szCs w:val="24"/>
                <w:lang w:val="en-US"/>
              </w:rPr>
            </w:pPr>
          </w:p>
        </w:tc>
        <w:tc>
          <w:tcPr>
            <w:tcW w:w="780" w:type="dxa"/>
            <w:tcMar>
              <w:top w:w="45" w:type="dxa"/>
              <w:left w:w="75" w:type="dxa"/>
              <w:bottom w:w="45" w:type="dxa"/>
              <w:right w:w="75" w:type="dxa"/>
            </w:tcMar>
            <w:vAlign w:val="center"/>
          </w:tcPr>
          <w:p w14:paraId="6C48438C">
            <w:pPr>
              <w:pageBreakBefore w:val="0"/>
              <w:kinsoku/>
              <w:wordWrap/>
              <w:overflowPunct/>
              <w:topLinePunct w:val="0"/>
              <w:autoSpaceDE/>
              <w:autoSpaceDN/>
              <w:bidi w:val="0"/>
              <w:spacing w:line="400" w:lineRule="exact"/>
              <w:jc w:val="center"/>
              <w:textAlignment w:val="auto"/>
              <w:rPr>
                <w:rFonts w:hint="default" w:ascii="Times New Roman" w:hAnsi="Times New Roman" w:cs="Times New Roman" w:eastAsiaTheme="minorEastAsia"/>
                <w:sz w:val="24"/>
                <w:szCs w:val="24"/>
                <w:lang w:val="en-US" w:eastAsia="zh-CN"/>
              </w:rPr>
            </w:pPr>
          </w:p>
        </w:tc>
        <w:tc>
          <w:tcPr>
            <w:tcW w:w="888" w:type="dxa"/>
            <w:tcMar>
              <w:top w:w="45" w:type="dxa"/>
              <w:left w:w="75" w:type="dxa"/>
              <w:bottom w:w="45" w:type="dxa"/>
              <w:right w:w="75" w:type="dxa"/>
            </w:tcMar>
            <w:vAlign w:val="center"/>
          </w:tcPr>
          <w:p w14:paraId="5CAEB34D">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sz w:val="24"/>
                <w:szCs w:val="24"/>
                <w:lang w:val="en-US" w:eastAsia="zh-CN"/>
              </w:rPr>
            </w:pPr>
          </w:p>
        </w:tc>
        <w:tc>
          <w:tcPr>
            <w:tcW w:w="1608" w:type="dxa"/>
            <w:tcMar>
              <w:top w:w="45" w:type="dxa"/>
              <w:left w:w="75" w:type="dxa"/>
              <w:bottom w:w="45" w:type="dxa"/>
              <w:right w:w="75" w:type="dxa"/>
            </w:tcMar>
            <w:vAlign w:val="center"/>
          </w:tcPr>
          <w:p w14:paraId="3FC94338">
            <w:pPr>
              <w:pageBreakBefore w:val="0"/>
              <w:kinsoku/>
              <w:wordWrap/>
              <w:overflowPunct/>
              <w:topLinePunct w:val="0"/>
              <w:autoSpaceDE/>
              <w:autoSpaceDN/>
              <w:bidi w:val="0"/>
              <w:spacing w:line="400" w:lineRule="exact"/>
              <w:jc w:val="center"/>
              <w:textAlignment w:val="auto"/>
              <w:rPr>
                <w:rFonts w:hint="default" w:ascii="Times New Roman" w:hAnsi="Times New Roman" w:cs="Times New Roman" w:eastAsiaTheme="minorEastAsia"/>
                <w:sz w:val="24"/>
                <w:szCs w:val="24"/>
                <w:lang w:val="en-US" w:eastAsia="zh-CN"/>
              </w:rPr>
            </w:pPr>
          </w:p>
        </w:tc>
        <w:tc>
          <w:tcPr>
            <w:tcW w:w="1607" w:type="dxa"/>
            <w:tcMar>
              <w:top w:w="45" w:type="dxa"/>
              <w:left w:w="75" w:type="dxa"/>
              <w:bottom w:w="45" w:type="dxa"/>
              <w:right w:w="75" w:type="dxa"/>
            </w:tcMar>
            <w:vAlign w:val="center"/>
          </w:tcPr>
          <w:p w14:paraId="6B424869">
            <w:pPr>
              <w:pageBreakBefore w:val="0"/>
              <w:kinsoku/>
              <w:wordWrap/>
              <w:overflowPunct/>
              <w:topLinePunct w:val="0"/>
              <w:autoSpaceDE/>
              <w:autoSpaceDN/>
              <w:bidi w:val="0"/>
              <w:spacing w:line="400" w:lineRule="exact"/>
              <w:jc w:val="center"/>
              <w:textAlignment w:val="auto"/>
              <w:rPr>
                <w:rFonts w:hint="default" w:ascii="Times New Roman" w:hAnsi="Times New Roman" w:cs="Times New Roman" w:eastAsiaTheme="minorEastAsia"/>
                <w:sz w:val="24"/>
                <w:szCs w:val="24"/>
                <w:lang w:val="en-US" w:eastAsia="zh-CN"/>
              </w:rPr>
            </w:pPr>
          </w:p>
        </w:tc>
      </w:tr>
      <w:tr w14:paraId="571BD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6" w:type="dxa"/>
            <w:gridSpan w:val="7"/>
            <w:tcMar>
              <w:top w:w="45" w:type="dxa"/>
              <w:left w:w="75" w:type="dxa"/>
              <w:bottom w:w="45" w:type="dxa"/>
              <w:right w:w="75" w:type="dxa"/>
            </w:tcMar>
            <w:vAlign w:val="center"/>
          </w:tcPr>
          <w:p w14:paraId="3A9301E0">
            <w:pPr>
              <w:pStyle w:val="12"/>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合计：人民币（大写）：人民币</w:t>
            </w:r>
            <w:r>
              <w:rPr>
                <w:rFonts w:hint="eastAsia" w:ascii="Times New Roman" w:hAnsi="Times New Roman" w:cs="Times New Roman"/>
                <w:sz w:val="24"/>
                <w:szCs w:val="24"/>
                <w:lang w:val="en-US" w:eastAsia="zh-CN"/>
              </w:rPr>
              <w:t>XX</w:t>
            </w:r>
            <w:r>
              <w:rPr>
                <w:rFonts w:hint="default" w:ascii="Times New Roman" w:hAnsi="Times New Roman" w:cs="Times New Roman"/>
                <w:sz w:val="24"/>
                <w:szCs w:val="24"/>
                <w:lang w:val="en-US" w:eastAsia="zh-CN"/>
              </w:rPr>
              <w:t>元</w:t>
            </w:r>
            <w:r>
              <w:rPr>
                <w:rFonts w:hint="default" w:ascii="Times New Roman" w:hAnsi="Times New Roman" w:cs="Times New Roman" w:eastAsiaTheme="minorEastAsia"/>
                <w:sz w:val="24"/>
                <w:szCs w:val="24"/>
                <w:lang w:val="en-US" w:eastAsia="zh-CN"/>
              </w:rPr>
              <w:t>整</w:t>
            </w:r>
            <w:r>
              <w:rPr>
                <w:rFonts w:hint="default" w:ascii="Times New Roman" w:hAnsi="Times New Roman" w:cs="Times New Roman" w:eastAsiaTheme="minorEastAsia"/>
                <w:sz w:val="24"/>
                <w:szCs w:val="24"/>
              </w:rPr>
              <w:t>，￥：元</w:t>
            </w:r>
          </w:p>
        </w:tc>
      </w:tr>
    </w:tbl>
    <w:p w14:paraId="279EFC5F">
      <w:pPr>
        <w:pStyle w:val="12"/>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sz w:val="24"/>
        </w:rPr>
        <w:t>合同总额包括乙方设计、安装、随机零配件、标配工具、运输、保险、调试、培训、售后服务期服务、各项税费及合同实施过程中不可预见费用等。</w:t>
      </w:r>
    </w:p>
    <w:p w14:paraId="0612CB5A">
      <w:pPr>
        <w:pStyle w:val="12"/>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b/>
          <w:sz w:val="24"/>
        </w:rPr>
        <w:t>二、合同金额</w:t>
      </w:r>
    </w:p>
    <w:p w14:paraId="5C2D9FA0">
      <w:pPr>
        <w:pStyle w:val="12"/>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sz w:val="24"/>
        </w:rPr>
        <w:t>合同金额为：人民币（大写）</w:t>
      </w:r>
      <w:r>
        <w:rPr>
          <w:rFonts w:hint="eastAsia" w:ascii="Times New Roman" w:hAnsi="Times New Roman" w:cs="Times New Roman"/>
          <w:sz w:val="24"/>
          <w:lang w:val="en-US" w:eastAsia="zh-CN"/>
        </w:rPr>
        <w:t>XX</w:t>
      </w:r>
      <w:r>
        <w:rPr>
          <w:rFonts w:hint="default" w:ascii="Times New Roman" w:hAnsi="Times New Roman" w:cs="Times New Roman"/>
          <w:sz w:val="24"/>
        </w:rPr>
        <w:t>元整（￥.00元）</w:t>
      </w:r>
    </w:p>
    <w:p w14:paraId="4A4CCCA1">
      <w:pPr>
        <w:pStyle w:val="12"/>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b/>
          <w:sz w:val="24"/>
        </w:rPr>
        <w:t>三、设备要求</w:t>
      </w:r>
    </w:p>
    <w:p w14:paraId="4985E9A2">
      <w:pPr>
        <w:pStyle w:val="12"/>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sz w:val="24"/>
        </w:rPr>
        <w:t>1.货物为原制造商制造的全新产品，整机无污染，无侵权行为、表面无划损、无任何缺陷隐患，在中国境内可依常规安全合法使用。</w:t>
      </w:r>
    </w:p>
    <w:p w14:paraId="4E87AC1E">
      <w:pPr>
        <w:pStyle w:val="12"/>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sz w:val="24"/>
        </w:rPr>
        <w:t>2.乙方应保证本项目的货物、服务或其任何一部分不会产生因第三方提出侵犯其专利权、商标权或其他知识产权而引起的法律和经济纠纷；如因第三方提出其专利权、商标权或其他知识产权的侵权之诉，则一切法律责任由乙方承担，因此给甲方造成损失的，乙方应当给予全额赔偿。</w:t>
      </w:r>
    </w:p>
    <w:p w14:paraId="3C1AFA6A">
      <w:pPr>
        <w:pStyle w:val="12"/>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b/>
          <w:sz w:val="24"/>
        </w:rPr>
        <w:t>四、交货期、交货方式及交货地点</w:t>
      </w:r>
    </w:p>
    <w:p w14:paraId="0F908784">
      <w:pPr>
        <w:pStyle w:val="12"/>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sz w:val="24"/>
        </w:rPr>
        <w:t>1.交货期：合同签订生效之日起</w:t>
      </w:r>
      <w:r>
        <w:rPr>
          <w:rFonts w:hint="default" w:ascii="Times New Roman" w:hAnsi="Times New Roman" w:cs="Times New Roman"/>
          <w:sz w:val="24"/>
          <w:highlight w:val="none"/>
          <w:u w:val="single"/>
          <w:lang w:val="en-US" w:eastAsia="zh-CN"/>
        </w:rPr>
        <w:t>30</w:t>
      </w:r>
      <w:r>
        <w:rPr>
          <w:rFonts w:hint="default" w:ascii="Times New Roman" w:hAnsi="Times New Roman" w:cs="Times New Roman"/>
          <w:sz w:val="24"/>
        </w:rPr>
        <w:t>日内完成供货、安装、调试。</w:t>
      </w:r>
    </w:p>
    <w:p w14:paraId="16CECCD4">
      <w:pPr>
        <w:pStyle w:val="12"/>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sz w:val="24"/>
        </w:rPr>
        <w:t>2.交货方式：乙方</w:t>
      </w:r>
      <w:r>
        <w:rPr>
          <w:rFonts w:hint="default" w:ascii="Times New Roman" w:hAnsi="Times New Roman" w:cs="Times New Roman"/>
          <w:sz w:val="24"/>
          <w:lang w:val="en-US" w:eastAsia="zh-CN"/>
        </w:rPr>
        <w:t>负责</w:t>
      </w:r>
      <w:r>
        <w:rPr>
          <w:rFonts w:hint="default" w:ascii="Times New Roman" w:hAnsi="Times New Roman" w:cs="Times New Roman"/>
          <w:sz w:val="24"/>
        </w:rPr>
        <w:t>将设备运送至甲方指定交货地点。</w:t>
      </w:r>
    </w:p>
    <w:p w14:paraId="2189A361">
      <w:pPr>
        <w:pStyle w:val="12"/>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sz w:val="24"/>
        </w:rPr>
        <w:t>3.交货地点：甲方指定交货地点。</w:t>
      </w:r>
    </w:p>
    <w:p w14:paraId="2FFC44C0">
      <w:pPr>
        <w:pStyle w:val="12"/>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b/>
          <w:sz w:val="24"/>
        </w:rPr>
        <w:t>五、付款方式</w:t>
      </w:r>
    </w:p>
    <w:p w14:paraId="23DB2ECA">
      <w:pPr>
        <w:pStyle w:val="12"/>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eastAsiaTheme="minorEastAsia"/>
          <w:lang w:eastAsia="zh-CN"/>
        </w:rPr>
      </w:pPr>
      <w:r>
        <w:rPr>
          <w:rFonts w:hint="default" w:ascii="Times New Roman" w:hAnsi="Times New Roman" w:cs="Times New Roman"/>
          <w:sz w:val="24"/>
        </w:rPr>
        <w:t>1.履约保证金：合同签订生效后5个工作日内，乙方按合同总价的5%交付履约保证金给甲方指定账户；乙方逾期支付履约保证金超过15日的，甲方有权解除本合同。</w:t>
      </w:r>
    </w:p>
    <w:p w14:paraId="01800884">
      <w:pPr>
        <w:pStyle w:val="12"/>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sz w:val="24"/>
        </w:rPr>
        <w:t>2.甲方收到乙方交付的履约保证金和提交相应发票后的5个工作日内，甲方支付合同总价的30%。</w:t>
      </w:r>
    </w:p>
    <w:p w14:paraId="0B35A405">
      <w:pPr>
        <w:pStyle w:val="12"/>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eastAsiaTheme="minorEastAsia"/>
          <w:lang w:val="en-US" w:eastAsia="zh-CN"/>
        </w:rPr>
      </w:pPr>
      <w:r>
        <w:rPr>
          <w:rFonts w:hint="default" w:ascii="Times New Roman" w:hAnsi="Times New Roman" w:cs="Times New Roman"/>
          <w:sz w:val="24"/>
          <w:lang w:val="en-US" w:eastAsia="zh-CN"/>
        </w:rPr>
        <w:t>3</w:t>
      </w:r>
      <w:r>
        <w:rPr>
          <w:rFonts w:hint="default" w:ascii="Times New Roman" w:hAnsi="Times New Roman" w:cs="Times New Roman"/>
          <w:sz w:val="24"/>
        </w:rPr>
        <w:t>.设备安装调试完成</w:t>
      </w:r>
      <w:r>
        <w:rPr>
          <w:rFonts w:hint="default" w:ascii="Times New Roman" w:hAnsi="Times New Roman" w:cs="Times New Roman"/>
          <w:sz w:val="24"/>
          <w:lang w:eastAsia="zh-CN"/>
        </w:rPr>
        <w:t>且</w:t>
      </w:r>
      <w:r>
        <w:rPr>
          <w:rFonts w:hint="default" w:ascii="Times New Roman" w:hAnsi="Times New Roman" w:cs="Times New Roman"/>
          <w:sz w:val="24"/>
        </w:rPr>
        <w:t>通过甲方验收，乙方提交全部报告材料及发票后，甲方支付合同总价的70%</w:t>
      </w:r>
      <w:r>
        <w:rPr>
          <w:rFonts w:hint="default" w:ascii="Times New Roman" w:hAnsi="Times New Roman" w:cs="Times New Roman"/>
          <w:sz w:val="24"/>
          <w:lang w:eastAsia="zh-CN"/>
        </w:rPr>
        <w:t>。乙方完成交付义务并通过甲方验收的，乙方提出申请后，甲方于</w:t>
      </w:r>
      <w:r>
        <w:rPr>
          <w:rFonts w:hint="default" w:ascii="Times New Roman" w:hAnsi="Times New Roman" w:cs="Times New Roman"/>
          <w:sz w:val="24"/>
          <w:lang w:val="en-US" w:eastAsia="zh-CN"/>
        </w:rPr>
        <w:t>60天内无息返还履约保证金。</w:t>
      </w:r>
    </w:p>
    <w:p w14:paraId="480A0149">
      <w:pPr>
        <w:pStyle w:val="12"/>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sz w:val="24"/>
          <w:lang w:val="en-US" w:eastAsia="zh-CN"/>
        </w:rPr>
        <w:t>4</w:t>
      </w:r>
      <w:r>
        <w:rPr>
          <w:rFonts w:hint="default" w:ascii="Times New Roman" w:hAnsi="Times New Roman" w:cs="Times New Roman"/>
          <w:sz w:val="24"/>
        </w:rPr>
        <w:t>.付款时间为甲方向政府采购支付部门提出支付申请的时间（不含政府财政支付部门审查的时间），甲方向政府采购支付提出支付申请即视为甲方已履行付款义务。</w:t>
      </w:r>
    </w:p>
    <w:p w14:paraId="405CC245">
      <w:pPr>
        <w:pStyle w:val="12"/>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sz w:val="24"/>
          <w:lang w:val="en-US" w:eastAsia="zh-CN"/>
        </w:rPr>
        <w:t>5</w:t>
      </w:r>
      <w:r>
        <w:rPr>
          <w:rFonts w:hint="default" w:ascii="Times New Roman" w:hAnsi="Times New Roman" w:cs="Times New Roman"/>
          <w:sz w:val="24"/>
        </w:rPr>
        <w:t>.每次货款结算前，乙方需提供符合国家有关财税规定的等额发票。合同款包含项目实施过程的所有含税费用、首次计量或校准费用。</w:t>
      </w:r>
    </w:p>
    <w:p w14:paraId="52E5FCD7">
      <w:pPr>
        <w:pStyle w:val="12"/>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b/>
          <w:sz w:val="24"/>
        </w:rPr>
        <w:t>六、售后服务期及售后服务要求</w:t>
      </w:r>
    </w:p>
    <w:p w14:paraId="4FCFEE10">
      <w:pPr>
        <w:pStyle w:val="12"/>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sz w:val="24"/>
        </w:rPr>
        <w:t>1.本合同的售后服务期为</w:t>
      </w:r>
      <w:r>
        <w:rPr>
          <w:rFonts w:hint="default" w:ascii="Times New Roman" w:hAnsi="Times New Roman" w:cs="Times New Roman"/>
          <w:sz w:val="24"/>
          <w:highlight w:val="yellow"/>
          <w:u w:val="single"/>
          <w:lang w:val="en-US" w:eastAsia="zh-CN"/>
        </w:rPr>
        <w:t xml:space="preserve"> 年</w:t>
      </w:r>
      <w:r>
        <w:rPr>
          <w:rFonts w:hint="default" w:ascii="Times New Roman" w:hAnsi="Times New Roman" w:cs="Times New Roman"/>
          <w:sz w:val="24"/>
        </w:rPr>
        <w:t>，自设备验收之日起算。售后服务期内乙方对所供货物实行包修、包换、包退、包维护保养等维修保养服务，期满后可同时提供终身有偿维修保养服务并提供主要维修配件价格做附件</w:t>
      </w:r>
      <w:r>
        <w:rPr>
          <w:rFonts w:hint="default" w:ascii="Times New Roman" w:hAnsi="Times New Roman" w:cs="Times New Roman"/>
          <w:sz w:val="24"/>
          <w:lang w:eastAsia="zh-CN"/>
        </w:rPr>
        <w:t>。</w:t>
      </w:r>
      <w:r>
        <w:rPr>
          <w:rFonts w:hint="default" w:ascii="Times New Roman" w:hAnsi="Times New Roman" w:cs="Times New Roman"/>
          <w:sz w:val="24"/>
        </w:rPr>
        <w:t>售后服务期内乙方对所供货物实行包修、包换、包退及合同约定的其他事项，售后服务期满后提供有偿终身维修保养服务，只收取零配件成本费，不收取任何工时费及技术人</w:t>
      </w:r>
      <w:r>
        <w:rPr>
          <w:rFonts w:hint="default" w:ascii="Times New Roman" w:hAnsi="Times New Roman" w:cs="Times New Roman"/>
          <w:sz w:val="24"/>
          <w:lang w:eastAsia="zh-CN"/>
        </w:rPr>
        <w:t>员</w:t>
      </w:r>
      <w:r>
        <w:rPr>
          <w:rFonts w:hint="default" w:ascii="Times New Roman" w:hAnsi="Times New Roman" w:cs="Times New Roman"/>
          <w:sz w:val="24"/>
        </w:rPr>
        <w:t>差</w:t>
      </w:r>
      <w:r>
        <w:rPr>
          <w:rFonts w:hint="default" w:ascii="Times New Roman" w:hAnsi="Times New Roman" w:cs="Times New Roman"/>
          <w:sz w:val="24"/>
          <w:lang w:eastAsia="zh-CN"/>
        </w:rPr>
        <w:t>旅</w:t>
      </w:r>
      <w:r>
        <w:rPr>
          <w:rFonts w:hint="default" w:ascii="Times New Roman" w:hAnsi="Times New Roman" w:cs="Times New Roman"/>
          <w:sz w:val="24"/>
        </w:rPr>
        <w:t>费等其他费用。</w:t>
      </w:r>
    </w:p>
    <w:p w14:paraId="0916DBA2">
      <w:pPr>
        <w:pStyle w:val="12"/>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sz w:val="24"/>
        </w:rPr>
        <w:t>2.售后服务期内，如设备或零部件因质量原因出现故障而造成短期停用时，则售后服务期和维修期相应顺延。如停用时间累计超过60天则售后服务期重新计算。</w:t>
      </w:r>
    </w:p>
    <w:p w14:paraId="01FA5738">
      <w:pPr>
        <w:pStyle w:val="12"/>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sz w:val="24"/>
        </w:rPr>
        <w:t>3.</w:t>
      </w:r>
      <w:r>
        <w:rPr>
          <w:rFonts w:hint="default" w:ascii="Times New Roman" w:hAnsi="Times New Roman" w:cs="Times New Roman"/>
          <w:color w:val="000000" w:themeColor="text1"/>
          <w:sz w:val="24"/>
          <w14:textFill>
            <w14:solidFill>
              <w14:schemeClr w14:val="tx1"/>
            </w14:solidFill>
          </w14:textFill>
        </w:rPr>
        <w:t>对甲方的服务通知，</w:t>
      </w:r>
      <w:r>
        <w:rPr>
          <w:rFonts w:hint="default" w:ascii="Times New Roman" w:hAnsi="Times New Roman" w:cs="Times New Roman"/>
          <w:color w:val="000000" w:themeColor="text1"/>
          <w:sz w:val="24"/>
          <w:lang w:val="en-US" w:eastAsia="zh-CN"/>
          <w14:textFill>
            <w14:solidFill>
              <w14:schemeClr w14:val="tx1"/>
            </w14:solidFill>
          </w14:textFill>
        </w:rPr>
        <w:t>乙方1</w:t>
      </w:r>
      <w:r>
        <w:rPr>
          <w:rFonts w:hint="default" w:ascii="Times New Roman" w:hAnsi="Times New Roman" w:cs="Times New Roman"/>
          <w:color w:val="000000" w:themeColor="text1"/>
          <w:sz w:val="24"/>
          <w14:textFill>
            <w14:solidFill>
              <w14:schemeClr w14:val="tx1"/>
            </w14:solidFill>
          </w14:textFill>
        </w:rPr>
        <w:t>小时内电话响应并</w:t>
      </w:r>
      <w:r>
        <w:rPr>
          <w:rFonts w:hint="default" w:ascii="Times New Roman" w:hAnsi="Times New Roman" w:cs="Times New Roman"/>
          <w:color w:val="000000" w:themeColor="text1"/>
          <w:sz w:val="24"/>
          <w:lang w:eastAsia="zh-CN"/>
          <w14:textFill>
            <w14:solidFill>
              <w14:schemeClr w14:val="tx1"/>
            </w14:solidFill>
          </w14:textFill>
        </w:rPr>
        <w:t>远程指导（</w:t>
      </w:r>
      <w:r>
        <w:rPr>
          <w:rFonts w:hint="default" w:ascii="Times New Roman" w:hAnsi="Times New Roman" w:cs="Times New Roman"/>
          <w:color w:val="000000" w:themeColor="text1"/>
          <w:sz w:val="24"/>
          <w:lang w:val="en-US" w:eastAsia="zh-CN"/>
          <w14:textFill>
            <w14:solidFill>
              <w14:schemeClr w14:val="tx1"/>
            </w14:solidFill>
          </w14:textFill>
        </w:rPr>
        <w:t>电话或视频</w:t>
      </w:r>
      <w:r>
        <w:rPr>
          <w:rFonts w:hint="default" w:ascii="Times New Roman" w:hAnsi="Times New Roman" w:cs="Times New Roman"/>
          <w:color w:val="000000" w:themeColor="text1"/>
          <w:sz w:val="24"/>
          <w:lang w:eastAsia="zh-CN"/>
          <w14:textFill>
            <w14:solidFill>
              <w14:schemeClr w14:val="tx1"/>
            </w14:solidFill>
          </w14:textFill>
        </w:rPr>
        <w:t>）</w:t>
      </w:r>
      <w:r>
        <w:rPr>
          <w:rFonts w:hint="default" w:ascii="Times New Roman" w:hAnsi="Times New Roman" w:cs="Times New Roman"/>
          <w:color w:val="000000" w:themeColor="text1"/>
          <w:sz w:val="24"/>
          <w14:textFill>
            <w14:solidFill>
              <w14:schemeClr w14:val="tx1"/>
            </w14:solidFill>
          </w14:textFill>
        </w:rPr>
        <w:t>解决问题，如果无法</w:t>
      </w:r>
      <w:r>
        <w:rPr>
          <w:rFonts w:hint="default" w:ascii="Times New Roman" w:hAnsi="Times New Roman" w:cs="Times New Roman"/>
          <w:color w:val="000000" w:themeColor="text1"/>
          <w:sz w:val="24"/>
          <w:lang w:eastAsia="zh-CN"/>
          <w14:textFill>
            <w14:solidFill>
              <w14:schemeClr w14:val="tx1"/>
            </w14:solidFill>
          </w14:textFill>
        </w:rPr>
        <w:t>远程指导</w:t>
      </w:r>
      <w:r>
        <w:rPr>
          <w:rFonts w:hint="default" w:ascii="Times New Roman" w:hAnsi="Times New Roman" w:cs="Times New Roman"/>
          <w:color w:val="000000" w:themeColor="text1"/>
          <w:sz w:val="24"/>
          <w14:textFill>
            <w14:solidFill>
              <w14:schemeClr w14:val="tx1"/>
            </w14:solidFill>
          </w14:textFill>
        </w:rPr>
        <w:t>解决问题，</w:t>
      </w:r>
      <w:r>
        <w:rPr>
          <w:rFonts w:hint="default" w:ascii="Times New Roman" w:hAnsi="Times New Roman" w:cs="Times New Roman"/>
          <w:color w:val="000000" w:themeColor="text1"/>
          <w:sz w:val="24"/>
          <w:lang w:eastAsia="zh-CN"/>
          <w14:textFill>
            <w14:solidFill>
              <w14:schemeClr w14:val="tx1"/>
            </w14:solidFill>
          </w14:textFill>
        </w:rPr>
        <w:t>需在</w:t>
      </w:r>
      <w:r>
        <w:rPr>
          <w:rFonts w:hint="default" w:ascii="Times New Roman" w:hAnsi="Times New Roman" w:cs="Times New Roman"/>
          <w:color w:val="000000" w:themeColor="text1"/>
          <w:sz w:val="24"/>
          <w14:textFill>
            <w14:solidFill>
              <w14:schemeClr w14:val="tx1"/>
            </w14:solidFill>
          </w14:textFill>
        </w:rPr>
        <w:t>4小时内抵达现场修复</w:t>
      </w:r>
      <w:r>
        <w:rPr>
          <w:rFonts w:hint="default" w:ascii="Times New Roman" w:hAnsi="Times New Roman" w:cs="Times New Roman"/>
          <w:color w:val="000000" w:themeColor="text1"/>
          <w:sz w:val="24"/>
          <w:lang w:eastAsia="zh-CN"/>
          <w14:textFill>
            <w14:solidFill>
              <w14:schemeClr w14:val="tx1"/>
            </w14:solidFill>
          </w14:textFill>
        </w:rPr>
        <w:t>。</w:t>
      </w:r>
      <w:r>
        <w:rPr>
          <w:rFonts w:hint="default" w:ascii="Times New Roman" w:hAnsi="Times New Roman" w:cs="Times New Roman"/>
          <w:color w:val="000000" w:themeColor="text1"/>
          <w:sz w:val="24"/>
          <w14:textFill>
            <w14:solidFill>
              <w14:schemeClr w14:val="tx1"/>
            </w14:solidFill>
          </w14:textFill>
        </w:rPr>
        <w:t>复杂故障</w:t>
      </w:r>
      <w:r>
        <w:rPr>
          <w:rFonts w:hint="default" w:ascii="Times New Roman" w:hAnsi="Times New Roman" w:cs="Times New Roman"/>
          <w:color w:val="000000" w:themeColor="text1"/>
          <w:sz w:val="24"/>
          <w:lang w:eastAsia="zh-CN"/>
          <w14:textFill>
            <w14:solidFill>
              <w14:schemeClr w14:val="tx1"/>
            </w14:solidFill>
          </w14:textFill>
        </w:rPr>
        <w:t>维修时间</w:t>
      </w:r>
      <w:r>
        <w:rPr>
          <w:rFonts w:hint="default" w:ascii="Times New Roman" w:hAnsi="Times New Roman" w:cs="Times New Roman"/>
          <w:color w:val="000000" w:themeColor="text1"/>
          <w:sz w:val="24"/>
          <w14:textFill>
            <w14:solidFill>
              <w14:schemeClr w14:val="tx1"/>
            </w14:solidFill>
          </w14:textFill>
        </w:rPr>
        <w:t>不超过48小时</w:t>
      </w:r>
      <w:r>
        <w:rPr>
          <w:rFonts w:hint="default" w:ascii="Times New Roman" w:hAnsi="Times New Roman" w:cs="Times New Roman"/>
          <w:color w:val="000000" w:themeColor="text1"/>
          <w:sz w:val="24"/>
          <w:lang w:eastAsia="zh-CN"/>
          <w14:textFill>
            <w14:solidFill>
              <w14:schemeClr w14:val="tx1"/>
            </w14:solidFill>
          </w14:textFill>
        </w:rPr>
        <w:t>（</w:t>
      </w:r>
      <w:r>
        <w:rPr>
          <w:rFonts w:hint="default" w:ascii="Times New Roman" w:hAnsi="Times New Roman" w:cs="Times New Roman"/>
          <w:color w:val="000000" w:themeColor="text1"/>
          <w:sz w:val="24"/>
          <w14:textFill>
            <w14:solidFill>
              <w14:schemeClr w14:val="tx1"/>
            </w14:solidFill>
          </w14:textFill>
        </w:rPr>
        <w:t>需特殊定制备件的除外，备件到货后立即修复</w:t>
      </w:r>
      <w:r>
        <w:rPr>
          <w:rFonts w:hint="default" w:ascii="Times New Roman" w:hAnsi="Times New Roman" w:cs="Times New Roman"/>
          <w:color w:val="000000" w:themeColor="text1"/>
          <w:sz w:val="24"/>
          <w:lang w:eastAsia="zh-CN"/>
          <w14:textFill>
            <w14:solidFill>
              <w14:schemeClr w14:val="tx1"/>
            </w14:solidFill>
          </w14:textFill>
        </w:rPr>
        <w:t>），</w:t>
      </w:r>
      <w:r>
        <w:rPr>
          <w:rFonts w:hint="default" w:ascii="Times New Roman" w:hAnsi="Times New Roman" w:cs="Times New Roman"/>
          <w:color w:val="000000" w:themeColor="text1"/>
          <w:sz w:val="24"/>
          <w14:textFill>
            <w14:solidFill>
              <w14:schemeClr w14:val="tx1"/>
            </w14:solidFill>
          </w14:textFill>
        </w:rPr>
        <w:t>售后服务期和维修期相应顺延。</w:t>
      </w:r>
    </w:p>
    <w:p w14:paraId="532EED42">
      <w:pPr>
        <w:pStyle w:val="12"/>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sz w:val="24"/>
        </w:rPr>
        <w:t>4.若乙方未按上述约定时间对甲方服务通知进行响应，甲方有权另行寻找其他机构进行维修保养，因此产生的费用及给甲方造成的损失均由乙方承担。</w:t>
      </w:r>
    </w:p>
    <w:p w14:paraId="4399A630">
      <w:pPr>
        <w:pStyle w:val="12"/>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b/>
          <w:sz w:val="24"/>
        </w:rPr>
        <w:t>七、安装与调试</w:t>
      </w:r>
    </w:p>
    <w:p w14:paraId="703FE1A4">
      <w:pPr>
        <w:pStyle w:val="12"/>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sz w:val="24"/>
        </w:rPr>
        <w:t>1.乙方必须依照招标文件的要求和报价文件的承诺，将设备、系统安装并调试至正常运行的最佳状态。</w:t>
      </w:r>
    </w:p>
    <w:p w14:paraId="4485F9EC">
      <w:pPr>
        <w:pStyle w:val="12"/>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sz w:val="24"/>
        </w:rPr>
        <w:t>2.安装调试完成，如果甲方工作人员需要培训的，乙方应当在接到甲方通知之日起3个工作日内，根据甲方通知的时间、地点为甲方工作人员提供培训，培训次数不少于</w:t>
      </w:r>
      <w:r>
        <w:rPr>
          <w:rFonts w:hint="default" w:ascii="Times New Roman" w:hAnsi="Times New Roman" w:cs="Times New Roman"/>
          <w:sz w:val="24"/>
          <w:u w:val="single"/>
          <w:lang w:val="en-US" w:eastAsia="zh-CN"/>
        </w:rPr>
        <w:t>3</w:t>
      </w:r>
      <w:r>
        <w:rPr>
          <w:rFonts w:hint="default" w:ascii="Times New Roman" w:hAnsi="Times New Roman" w:cs="Times New Roman"/>
          <w:sz w:val="24"/>
        </w:rPr>
        <w:t>次。</w:t>
      </w:r>
    </w:p>
    <w:p w14:paraId="36368BD7">
      <w:pPr>
        <w:pStyle w:val="12"/>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b/>
          <w:sz w:val="24"/>
        </w:rPr>
        <w:t>八、验收</w:t>
      </w:r>
    </w:p>
    <w:p w14:paraId="6CF21E25">
      <w:pPr>
        <w:pStyle w:val="12"/>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sz w:val="24"/>
        </w:rPr>
        <w:t>1.交付验收标准依次序对照适用标准为：①符合中华人民共和国国家安全质量标准、环保标准或行业标准；②符合招标文件和响应承诺中甲方认可的合理最佳配置、参数及各项要求；③货物来源国官方标准。</w:t>
      </w:r>
    </w:p>
    <w:p w14:paraId="6C79CB10">
      <w:pPr>
        <w:pStyle w:val="12"/>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sz w:val="24"/>
        </w:rPr>
        <w:t>2.进口产品必须具备原产地证明和商检局的检验证明及合法进货渠道证明。</w:t>
      </w:r>
    </w:p>
    <w:p w14:paraId="376CD17C">
      <w:pPr>
        <w:pStyle w:val="12"/>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sz w:val="24"/>
        </w:rPr>
        <w:t>3.货物为原厂商未启封全新包装，具出厂合格证，序列号、包装箱号与出厂批号一致，并可追索查阅。所有伴随设备的附件必须齐全。</w:t>
      </w:r>
    </w:p>
    <w:p w14:paraId="6D85463A">
      <w:pPr>
        <w:pStyle w:val="12"/>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sz w:val="24"/>
        </w:rPr>
        <w:t>4.乙方应将关键主机设备的用户手册、保修手册、有关单证资料及配备件、随机工具等交付给甲方，使用操作及安全须知等重要资料应附有中文说明。</w:t>
      </w:r>
    </w:p>
    <w:p w14:paraId="54F1F3A7">
      <w:pPr>
        <w:pStyle w:val="12"/>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sz w:val="24"/>
        </w:rPr>
        <w:t>5.甲方组成验收小组按国家有关规定、规范进行验收，必要时邀请相关的专业人员或机构参与验收。因货物质量问题发生争议时，由本地质量技术监督部门鉴定。货物符合质量技术标准的，鉴定费由甲方承担；否则鉴定费由乙方承担。</w:t>
      </w:r>
    </w:p>
    <w:p w14:paraId="5404B461">
      <w:pPr>
        <w:pStyle w:val="12"/>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sz w:val="24"/>
        </w:rPr>
        <w:t>6.如合同设备属于国家强制计量或检定的设备，则验收前乙方须提供国家计量或检定机关所出具的合格证书，甲方可协助乙方联系有关部门进行检测，但相关检测费用由乙方承担。</w:t>
      </w:r>
    </w:p>
    <w:p w14:paraId="0A99EBB6">
      <w:pPr>
        <w:pStyle w:val="12"/>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b/>
          <w:sz w:val="24"/>
        </w:rPr>
        <w:t>九、违约责任与赔偿损失</w:t>
      </w:r>
    </w:p>
    <w:p w14:paraId="4E1B92A3">
      <w:pPr>
        <w:pStyle w:val="12"/>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sz w:val="24"/>
        </w:rPr>
        <w:t>1.乙方交付的货物、提供的服务不符合本合同规定的，甲方有权拒收，并且乙方须向甲方支付本合同总价10%的违约金。</w:t>
      </w:r>
    </w:p>
    <w:p w14:paraId="4C93D22E">
      <w:pPr>
        <w:pStyle w:val="12"/>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sz w:val="24"/>
        </w:rPr>
        <w:t>2.乙方未能按本合同规定的交货时间交付货物或提供服务的，从逾期之日起每日按本合同总价3‰的数额向甲方支付违约金；逾期15日以上的，甲方有权解除合同，由此造成的甲方经济损失由乙方承担，且须向甲方支付本合同总价10%的违约金。</w:t>
      </w:r>
    </w:p>
    <w:p w14:paraId="34181232">
      <w:pPr>
        <w:pStyle w:val="12"/>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sz w:val="24"/>
        </w:rPr>
        <w:t>3.甲方无正当理由拒收货物/接受服务，甲方向乙方偿付本合同总价的5%的违约金。甲方无正当理由逾期付款，则每日按本合同总价的3‰向乙方偿付违约金，累计不得超过未按期支付总金额的10%。</w:t>
      </w:r>
    </w:p>
    <w:p w14:paraId="129B43BD">
      <w:pPr>
        <w:pStyle w:val="12"/>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sz w:val="24"/>
        </w:rPr>
        <w:t>4.对于因任何一方原因导致变更、中止或者终止政府采购合同的，违约方应当依照合同约定对守约方受到的损失予以赔偿或者补偿；</w:t>
      </w:r>
    </w:p>
    <w:p w14:paraId="701A2BA0">
      <w:pPr>
        <w:pStyle w:val="12"/>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sz w:val="24"/>
        </w:rPr>
        <w:t>5.乙方未按本合同的规定和</w:t>
      </w:r>
      <w:r>
        <w:rPr>
          <w:rFonts w:hint="default" w:ascii="Times New Roman" w:hAnsi="Times New Roman" w:cs="Times New Roman"/>
          <w:sz w:val="24"/>
          <w:lang w:eastAsia="zh-CN"/>
        </w:rPr>
        <w:t>“</w:t>
      </w:r>
      <w:r>
        <w:rPr>
          <w:rFonts w:hint="default" w:ascii="Times New Roman" w:hAnsi="Times New Roman" w:cs="Times New Roman"/>
          <w:sz w:val="24"/>
        </w:rPr>
        <w:t>服务承诺</w:t>
      </w:r>
      <w:r>
        <w:rPr>
          <w:rFonts w:hint="default" w:ascii="Times New Roman" w:hAnsi="Times New Roman" w:cs="Times New Roman"/>
          <w:sz w:val="24"/>
          <w:lang w:eastAsia="zh-CN"/>
        </w:rPr>
        <w:t>”</w:t>
      </w:r>
      <w:r>
        <w:rPr>
          <w:rFonts w:hint="default" w:ascii="Times New Roman" w:hAnsi="Times New Roman" w:cs="Times New Roman"/>
          <w:sz w:val="24"/>
        </w:rPr>
        <w:t>提供伴随服务/售后服务的，应按合同总价款的5%向甲方承担违约责任。</w:t>
      </w:r>
    </w:p>
    <w:p w14:paraId="71580FA7">
      <w:pPr>
        <w:pStyle w:val="12"/>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sz w:val="24"/>
        </w:rPr>
        <w:t>6.乙方完成交付义务并通过甲方验收的，乙方提出申请后，甲方于60天内无息返还履约保证金。合同履行期内乙方逾期履行合同超过15日的或者擅自终止/解除合同的，或者因乙方原因导致合同解除的，其履约保证金不予退回，且甲方无需承担任何责任。</w:t>
      </w:r>
    </w:p>
    <w:p w14:paraId="2B843711">
      <w:pPr>
        <w:pStyle w:val="12"/>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sz w:val="24"/>
        </w:rPr>
        <w:t>7.本合同履行过程中如乙方存在违约且造成甲方损失的行为，违约金和相应赔偿款项可优先从乙方缴纳的履约保证金中扣除，不足部分甲方有权向乙方追偿。甲方扣除部分违约金和相应赔偿款项的</w:t>
      </w:r>
      <w:r>
        <w:rPr>
          <w:rFonts w:hint="default" w:ascii="Times New Roman" w:hAnsi="Times New Roman" w:cs="Times New Roman"/>
          <w:sz w:val="24"/>
          <w:lang w:eastAsia="zh-CN"/>
        </w:rPr>
        <w:t>，</w:t>
      </w:r>
      <w:r>
        <w:rPr>
          <w:rFonts w:hint="default" w:ascii="Times New Roman" w:hAnsi="Times New Roman" w:cs="Times New Roman"/>
          <w:sz w:val="24"/>
        </w:rPr>
        <w:t>不代表甲方放弃与本合同有关的其他权利。</w:t>
      </w:r>
    </w:p>
    <w:p w14:paraId="64248B18">
      <w:pPr>
        <w:pStyle w:val="12"/>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sz w:val="24"/>
        </w:rPr>
        <w:t>8.其他违约责任按《中华人民共和国民法典》处理。</w:t>
      </w:r>
    </w:p>
    <w:p w14:paraId="03157259">
      <w:pPr>
        <w:pStyle w:val="12"/>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b/>
          <w:sz w:val="24"/>
        </w:rPr>
        <w:t>十、争议的解决</w:t>
      </w:r>
    </w:p>
    <w:p w14:paraId="66687B29">
      <w:pPr>
        <w:pStyle w:val="12"/>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sz w:val="24"/>
        </w:rPr>
        <w:t>合同执行过程中发生的任何争议，如双方不能通过友好协商解决，</w:t>
      </w:r>
      <w:r>
        <w:rPr>
          <w:rFonts w:hint="default" w:ascii="Times New Roman" w:hAnsi="Times New Roman" w:cs="Times New Roman"/>
          <w:color w:val="000000"/>
          <w:sz w:val="24"/>
        </w:rPr>
        <w:t>依法向</w:t>
      </w:r>
      <w:r>
        <w:rPr>
          <w:rFonts w:hint="default" w:ascii="Times New Roman" w:hAnsi="Times New Roman" w:cs="Times New Roman"/>
          <w:sz w:val="24"/>
        </w:rPr>
        <w:t>甲方所在地</w:t>
      </w:r>
      <w:r>
        <w:rPr>
          <w:rFonts w:hint="default" w:ascii="Times New Roman" w:hAnsi="Times New Roman" w:cs="Times New Roman"/>
          <w:sz w:val="22"/>
        </w:rPr>
        <w:t>人民法院提起诉讼</w:t>
      </w:r>
      <w:r>
        <w:rPr>
          <w:rFonts w:hint="default" w:ascii="Times New Roman" w:hAnsi="Times New Roman" w:cs="Times New Roman"/>
          <w:color w:val="000000"/>
          <w:sz w:val="24"/>
        </w:rPr>
        <w:t>。因解决争议所产生的诉讼费、律师费、保全费等费用由败诉方承担。</w:t>
      </w:r>
    </w:p>
    <w:p w14:paraId="5DB9B9DA">
      <w:pPr>
        <w:pStyle w:val="12"/>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b/>
          <w:sz w:val="24"/>
        </w:rPr>
        <w:t>十一、不可抗力</w:t>
      </w:r>
    </w:p>
    <w:p w14:paraId="569B3F87">
      <w:pPr>
        <w:pStyle w:val="12"/>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sz w:val="24"/>
        </w:rPr>
        <w:t>1.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14:paraId="1566C061">
      <w:pPr>
        <w:pStyle w:val="12"/>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b/>
          <w:sz w:val="24"/>
        </w:rPr>
        <w:t>十二、税费</w:t>
      </w:r>
    </w:p>
    <w:p w14:paraId="29AAB4BA">
      <w:pPr>
        <w:pStyle w:val="12"/>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sz w:val="24"/>
        </w:rPr>
        <w:t>1.在中国境内、外发生的与本合同执行有关的一切税费均由乙方负担。</w:t>
      </w:r>
    </w:p>
    <w:p w14:paraId="77CB6B5A">
      <w:pPr>
        <w:pStyle w:val="12"/>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b/>
          <w:sz w:val="24"/>
        </w:rPr>
        <w:t>十三、</w:t>
      </w:r>
      <w:r>
        <w:rPr>
          <w:rFonts w:hint="default" w:ascii="Times New Roman" w:hAnsi="Times New Roman" w:cs="Times New Roman"/>
          <w:b/>
          <w:sz w:val="24"/>
          <w:lang w:eastAsia="zh-CN"/>
        </w:rPr>
        <w:t>其他</w:t>
      </w:r>
    </w:p>
    <w:p w14:paraId="65023151">
      <w:pPr>
        <w:pStyle w:val="12"/>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sz w:val="24"/>
        </w:rPr>
        <w:t>1.本合同所有附件、招标文件、投标文件、中标通知书均</w:t>
      </w:r>
      <w:r>
        <w:rPr>
          <w:rFonts w:hint="default" w:ascii="Times New Roman" w:hAnsi="Times New Roman" w:cs="Times New Roman"/>
          <w:sz w:val="24"/>
          <w:lang w:eastAsia="zh-CN"/>
        </w:rPr>
        <w:t>为本</w:t>
      </w:r>
      <w:r>
        <w:rPr>
          <w:rFonts w:hint="default" w:ascii="Times New Roman" w:hAnsi="Times New Roman" w:cs="Times New Roman"/>
          <w:sz w:val="24"/>
        </w:rPr>
        <w:t>合同的有效组成部分，与本合同具有同等法律效力。</w:t>
      </w:r>
    </w:p>
    <w:p w14:paraId="02F6F762">
      <w:pPr>
        <w:pStyle w:val="12"/>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sz w:val="24"/>
        </w:rPr>
        <w:t>2.在执行本合同的过程中，所有经双方签署确认的文件（包括但不限于会议纪要、补充协议、往来信函）即成为本合同的有效组成部分，与本合同具有同等法律效力。</w:t>
      </w:r>
    </w:p>
    <w:p w14:paraId="77A12F50">
      <w:pPr>
        <w:pStyle w:val="12"/>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sz w:val="24"/>
        </w:rPr>
        <w:t>3.如一方地址、电话、传真号码有变更，应在变更当日内书面通知对方，否则，应承担相应责任。</w:t>
      </w:r>
    </w:p>
    <w:p w14:paraId="71A99186">
      <w:pPr>
        <w:pStyle w:val="12"/>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sz w:val="24"/>
        </w:rPr>
        <w:t>4.除甲方事先书面同意外，乙方不得部分或全部转让其应履行的合同项下的义务，否则乙方应承担由此给甲方造成的一切损失。</w:t>
      </w:r>
    </w:p>
    <w:p w14:paraId="6F8EEB69">
      <w:pPr>
        <w:pStyle w:val="12"/>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b/>
          <w:sz w:val="24"/>
        </w:rPr>
        <w:t>十四、合同生效</w:t>
      </w:r>
    </w:p>
    <w:p w14:paraId="0B340CE4">
      <w:pPr>
        <w:pStyle w:val="12"/>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sz w:val="24"/>
        </w:rPr>
        <w:t>1.本合同在甲乙双方法定代表人或其授权代表签字盖章后生效。</w:t>
      </w:r>
    </w:p>
    <w:p w14:paraId="7B31B15E">
      <w:pPr>
        <w:pStyle w:val="12"/>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color w:val="000000"/>
          <w:sz w:val="24"/>
        </w:rPr>
      </w:pPr>
      <w:r>
        <w:rPr>
          <w:rFonts w:hint="default" w:ascii="Times New Roman" w:hAnsi="Times New Roman" w:cs="Times New Roman"/>
          <w:sz w:val="24"/>
        </w:rPr>
        <w:t>2.合同一式6份，甲方执5份，乙方执1份</w:t>
      </w:r>
      <w:r>
        <w:rPr>
          <w:rFonts w:hint="default" w:ascii="Times New Roman" w:hAnsi="Times New Roman" w:cs="Times New Roman"/>
          <w:color w:val="000000"/>
          <w:sz w:val="24"/>
        </w:rPr>
        <w:t>，具有同等法律效力。</w:t>
      </w:r>
    </w:p>
    <w:p w14:paraId="6E7461A8">
      <w:pPr>
        <w:pStyle w:val="12"/>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color w:val="000000"/>
          <w:sz w:val="24"/>
        </w:rPr>
      </w:pPr>
    </w:p>
    <w:p w14:paraId="3EC2BA13">
      <w:pPr>
        <w:pStyle w:val="12"/>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sz w:val="24"/>
        </w:rPr>
        <w:t>（以下无正文）</w:t>
      </w:r>
    </w:p>
    <w:p w14:paraId="4E6C7C30">
      <w:pPr>
        <w:pStyle w:val="12"/>
        <w:pageBreakBefore w:val="0"/>
        <w:kinsoku/>
        <w:wordWrap/>
        <w:overflowPunct/>
        <w:topLinePunct w:val="0"/>
        <w:autoSpaceDE/>
        <w:autoSpaceDN/>
        <w:bidi w:val="0"/>
        <w:spacing w:line="400" w:lineRule="exact"/>
        <w:textAlignment w:val="auto"/>
        <w:rPr>
          <w:rFonts w:hint="default" w:ascii="Times New Roman" w:hAnsi="Times New Roman" w:cs="Times New Roman" w:eastAsiaTheme="minorEastAsia"/>
          <w:lang w:eastAsia="zh-CN"/>
        </w:rPr>
      </w:pPr>
      <w:r>
        <w:rPr>
          <w:rFonts w:hint="default" w:ascii="Times New Roman" w:hAnsi="Times New Roman" w:cs="Times New Roman"/>
          <w:b/>
          <w:sz w:val="24"/>
        </w:rPr>
        <w:t>甲方（盖章）：</w:t>
      </w:r>
      <w:r>
        <w:rPr>
          <w:rFonts w:hint="default" w:ascii="Times New Roman" w:hAnsi="Times New Roman" w:cs="Times New Roman"/>
          <w:b/>
          <w:sz w:val="24"/>
          <w:lang w:eastAsia="zh-CN"/>
        </w:rPr>
        <w:t>广东省第一荣军优抚医院</w:t>
      </w:r>
      <w:r>
        <w:rPr>
          <w:rFonts w:hint="default" w:ascii="Times New Roman" w:hAnsi="Times New Roman" w:cs="Times New Roman"/>
          <w:b/>
          <w:sz w:val="24"/>
        </w:rPr>
        <w:t xml:space="preserve">  乙方（盖章）：</w:t>
      </w:r>
      <w:r>
        <w:rPr>
          <w:rFonts w:hint="default" w:ascii="Times New Roman" w:hAnsi="Times New Roman" w:cs="Times New Roman"/>
          <w:b/>
          <w:sz w:val="24"/>
          <w:lang w:val="en-US" w:eastAsia="zh-CN"/>
        </w:rPr>
        <w:t>XX公司</w:t>
      </w:r>
    </w:p>
    <w:p w14:paraId="768197CA">
      <w:pPr>
        <w:pStyle w:val="12"/>
        <w:pageBreakBefore w:val="0"/>
        <w:kinsoku/>
        <w:wordWrap/>
        <w:overflowPunct/>
        <w:topLinePunct w:val="0"/>
        <w:autoSpaceDE/>
        <w:autoSpaceDN/>
        <w:bidi w:val="0"/>
        <w:spacing w:line="400" w:lineRule="exact"/>
        <w:textAlignment w:val="auto"/>
        <w:rPr>
          <w:rFonts w:hint="default" w:ascii="Times New Roman" w:hAnsi="Times New Roman" w:cs="Times New Roman"/>
          <w:b/>
          <w:sz w:val="24"/>
        </w:rPr>
      </w:pPr>
      <w:r>
        <w:rPr>
          <w:rFonts w:hint="default" w:ascii="Times New Roman" w:hAnsi="Times New Roman" w:cs="Times New Roman"/>
          <w:b/>
          <w:sz w:val="24"/>
        </w:rPr>
        <w:t xml:space="preserve">代表：                            </w:t>
      </w:r>
      <w:r>
        <w:rPr>
          <w:rFonts w:hint="default" w:ascii="Times New Roman" w:hAnsi="Times New Roman" w:cs="Times New Roman"/>
          <w:b/>
          <w:sz w:val="24"/>
          <w:lang w:val="en-US" w:eastAsia="zh-CN"/>
        </w:rPr>
        <w:t xml:space="preserve">    </w:t>
      </w:r>
      <w:r>
        <w:rPr>
          <w:rFonts w:hint="default" w:ascii="Times New Roman" w:hAnsi="Times New Roman" w:cs="Times New Roman"/>
          <w:b/>
          <w:sz w:val="24"/>
        </w:rPr>
        <w:t>代表：</w:t>
      </w:r>
    </w:p>
    <w:p w14:paraId="623C2412">
      <w:pPr>
        <w:pStyle w:val="12"/>
        <w:pageBreakBefore w:val="0"/>
        <w:kinsoku/>
        <w:wordWrap/>
        <w:overflowPunct/>
        <w:topLinePunct w:val="0"/>
        <w:autoSpaceDE/>
        <w:autoSpaceDN/>
        <w:bidi w:val="0"/>
        <w:spacing w:line="400" w:lineRule="exact"/>
        <w:textAlignment w:val="auto"/>
        <w:rPr>
          <w:rFonts w:hint="default" w:ascii="Times New Roman" w:hAnsi="Times New Roman" w:cs="Times New Roman"/>
          <w:sz w:val="24"/>
        </w:rPr>
      </w:pPr>
    </w:p>
    <w:p w14:paraId="5C59AD84">
      <w:pPr>
        <w:pStyle w:val="12"/>
        <w:pageBreakBefore w:val="0"/>
        <w:kinsoku/>
        <w:wordWrap/>
        <w:overflowPunct/>
        <w:topLinePunct w:val="0"/>
        <w:autoSpaceDE/>
        <w:autoSpaceDN/>
        <w:bidi w:val="0"/>
        <w:spacing w:line="400" w:lineRule="exact"/>
        <w:textAlignment w:val="auto"/>
        <w:rPr>
          <w:rFonts w:hint="default" w:ascii="Times New Roman" w:hAnsi="Times New Roman" w:cs="Times New Roman"/>
          <w:sz w:val="24"/>
        </w:rPr>
      </w:pPr>
    </w:p>
    <w:p w14:paraId="5A65B0C0">
      <w:pPr>
        <w:pStyle w:val="12"/>
        <w:pageBreakBefore w:val="0"/>
        <w:kinsoku/>
        <w:wordWrap/>
        <w:overflowPunct/>
        <w:topLinePunct w:val="0"/>
        <w:autoSpaceDE/>
        <w:autoSpaceDN/>
        <w:bidi w:val="0"/>
        <w:spacing w:line="400" w:lineRule="exact"/>
        <w:textAlignment w:val="auto"/>
        <w:rPr>
          <w:rFonts w:hint="default" w:ascii="Times New Roman" w:hAnsi="Times New Roman" w:cs="Times New Roman"/>
        </w:rPr>
      </w:pPr>
      <w:r>
        <w:rPr>
          <w:rFonts w:hint="default" w:ascii="Times New Roman" w:hAnsi="Times New Roman" w:cs="Times New Roman"/>
          <w:b/>
          <w:sz w:val="24"/>
        </w:rPr>
        <w:t>签订日期：</w:t>
      </w:r>
      <w:r>
        <w:rPr>
          <w:rFonts w:hint="eastAsia" w:ascii="Times New Roman" w:hAnsi="Times New Roman" w:cs="Times New Roman"/>
          <w:b/>
          <w:sz w:val="24"/>
          <w:lang w:val="en-US" w:eastAsia="zh-CN"/>
        </w:rPr>
        <w:t>2026</w:t>
      </w:r>
      <w:r>
        <w:rPr>
          <w:rFonts w:hint="default" w:ascii="Times New Roman" w:hAnsi="Times New Roman" w:cs="Times New Roman"/>
          <w:b/>
          <w:sz w:val="24"/>
        </w:rPr>
        <w:t xml:space="preserve">年　　月　　日    </w:t>
      </w:r>
      <w:r>
        <w:rPr>
          <w:rFonts w:hint="default" w:ascii="Times New Roman" w:hAnsi="Times New Roman" w:cs="Times New Roman"/>
          <w:b/>
          <w:sz w:val="24"/>
          <w:lang w:val="en-US" w:eastAsia="zh-CN"/>
        </w:rPr>
        <w:t xml:space="preserve">   </w:t>
      </w:r>
      <w:r>
        <w:rPr>
          <w:rFonts w:hint="eastAsia" w:ascii="Times New Roman" w:hAnsi="Times New Roman" w:cs="Times New Roman"/>
          <w:b/>
          <w:sz w:val="24"/>
          <w:lang w:val="en-US" w:eastAsia="zh-CN"/>
        </w:rPr>
        <w:t xml:space="preserve"> </w:t>
      </w:r>
      <w:r>
        <w:rPr>
          <w:rFonts w:hint="default" w:ascii="Times New Roman" w:hAnsi="Times New Roman" w:cs="Times New Roman"/>
          <w:b/>
          <w:sz w:val="24"/>
        </w:rPr>
        <w:t>签订日期：</w:t>
      </w:r>
      <w:r>
        <w:rPr>
          <w:rFonts w:hint="eastAsia" w:ascii="Times New Roman" w:hAnsi="Times New Roman" w:cs="Times New Roman"/>
          <w:b/>
          <w:sz w:val="24"/>
          <w:lang w:val="en-US" w:eastAsia="zh-CN"/>
        </w:rPr>
        <w:t>2026</w:t>
      </w:r>
      <w:r>
        <w:rPr>
          <w:rFonts w:hint="default" w:ascii="Times New Roman" w:hAnsi="Times New Roman" w:cs="Times New Roman"/>
          <w:b/>
          <w:sz w:val="24"/>
        </w:rPr>
        <w:t>年　　月　　日</w:t>
      </w:r>
    </w:p>
    <w:p w14:paraId="37829C8F">
      <w:pPr>
        <w:pStyle w:val="12"/>
        <w:pageBreakBefore w:val="0"/>
        <w:kinsoku/>
        <w:wordWrap/>
        <w:overflowPunct/>
        <w:topLinePunct w:val="0"/>
        <w:autoSpaceDE/>
        <w:autoSpaceDN/>
        <w:bidi w:val="0"/>
        <w:spacing w:line="400" w:lineRule="exact"/>
        <w:textAlignment w:val="auto"/>
        <w:rPr>
          <w:rFonts w:hint="default" w:ascii="Times New Roman" w:hAnsi="Times New Roman" w:cs="Times New Roman"/>
          <w:sz w:val="21"/>
          <w:szCs w:val="21"/>
        </w:rPr>
      </w:pPr>
      <w:r>
        <w:rPr>
          <w:rFonts w:hint="default" w:ascii="Times New Roman" w:hAnsi="Times New Roman" w:eastAsia="宋体" w:cs="Times New Roman"/>
          <w:b/>
          <w:sz w:val="21"/>
          <w:szCs w:val="21"/>
        </w:rPr>
        <w:t>收取履约保证金方与甲方一致，专户为：</w:t>
      </w:r>
      <w:r>
        <w:rPr>
          <w:rFonts w:hint="default" w:ascii="Times New Roman" w:hAnsi="Times New Roman" w:cs="Times New Roman"/>
          <w:b/>
          <w:sz w:val="21"/>
          <w:szCs w:val="21"/>
        </w:rPr>
        <w:t xml:space="preserve">  </w:t>
      </w:r>
      <w:r>
        <w:rPr>
          <w:rFonts w:hint="default" w:ascii="Times New Roman" w:hAnsi="Times New Roman" w:cs="Times New Roman"/>
          <w:b/>
          <w:sz w:val="21"/>
          <w:szCs w:val="21"/>
          <w:lang w:val="en-US" w:eastAsia="zh-CN"/>
        </w:rPr>
        <w:t xml:space="preserve">    </w:t>
      </w:r>
      <w:r>
        <w:rPr>
          <w:rFonts w:hint="default" w:ascii="Times New Roman" w:hAnsi="Times New Roman" w:eastAsia="宋体" w:cs="Times New Roman"/>
          <w:b/>
          <w:sz w:val="21"/>
          <w:szCs w:val="21"/>
        </w:rPr>
        <w:t>收款方、开票方须与乙方一致，专户为：</w:t>
      </w:r>
    </w:p>
    <w:p w14:paraId="0709FEDB">
      <w:pPr>
        <w:pStyle w:val="12"/>
        <w:pageBreakBefore w:val="0"/>
        <w:kinsoku/>
        <w:wordWrap/>
        <w:overflowPunct/>
        <w:topLinePunct w:val="0"/>
        <w:autoSpaceDE/>
        <w:autoSpaceDN/>
        <w:bidi w:val="0"/>
        <w:spacing w:line="400" w:lineRule="exact"/>
        <w:textAlignment w:val="auto"/>
        <w:rPr>
          <w:rFonts w:hint="default" w:ascii="Times New Roman" w:hAnsi="Times New Roman" w:cs="Times New Roman" w:eastAsiaTheme="minorEastAsia"/>
          <w:lang w:eastAsia="zh-CN"/>
        </w:rPr>
      </w:pPr>
      <w:r>
        <w:rPr>
          <w:rFonts w:hint="default" w:ascii="Times New Roman" w:hAnsi="Times New Roman" w:eastAsia="宋体" w:cs="Times New Roman"/>
          <w:b/>
          <w:sz w:val="24"/>
          <w:szCs w:val="24"/>
        </w:rPr>
        <w:t>开户名称：广东省第一荣军优抚医院</w:t>
      </w:r>
      <w:r>
        <w:rPr>
          <w:rFonts w:hint="default" w:ascii="Times New Roman" w:hAnsi="Times New Roman" w:cs="Times New Roman"/>
          <w:b/>
          <w:sz w:val="21"/>
        </w:rPr>
        <w:t xml:space="preserve">    </w:t>
      </w:r>
      <w:r>
        <w:rPr>
          <w:rFonts w:hint="default" w:ascii="Times New Roman" w:hAnsi="Times New Roman" w:cs="Times New Roman"/>
          <w:b/>
          <w:sz w:val="21"/>
          <w:lang w:val="en-US" w:eastAsia="zh-CN"/>
        </w:rPr>
        <w:t xml:space="preserve">  </w:t>
      </w:r>
      <w:r>
        <w:rPr>
          <w:rFonts w:hint="default" w:ascii="Times New Roman" w:hAnsi="Times New Roman" w:eastAsia="宋体" w:cs="Times New Roman"/>
          <w:b/>
          <w:sz w:val="24"/>
          <w:szCs w:val="24"/>
        </w:rPr>
        <w:t>开户名称：</w:t>
      </w:r>
    </w:p>
    <w:p w14:paraId="090454A4">
      <w:pPr>
        <w:pStyle w:val="12"/>
        <w:pageBreakBefore w:val="0"/>
        <w:kinsoku/>
        <w:wordWrap/>
        <w:overflowPunct/>
        <w:topLinePunct w:val="0"/>
        <w:autoSpaceDE/>
        <w:autoSpaceDN/>
        <w:bidi w:val="0"/>
        <w:spacing w:line="400" w:lineRule="exact"/>
        <w:textAlignment w:val="auto"/>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银行账号：3602000309000415320</w:t>
      </w:r>
      <w:r>
        <w:rPr>
          <w:rFonts w:hint="default" w:ascii="Times New Roman" w:hAnsi="Times New Roman" w:cs="Times New Roman"/>
          <w:b/>
          <w:sz w:val="21"/>
        </w:rPr>
        <w:t xml:space="preserve">       </w:t>
      </w:r>
      <w:r>
        <w:rPr>
          <w:rFonts w:hint="default" w:ascii="Times New Roman" w:hAnsi="Times New Roman" w:cs="Times New Roman"/>
          <w:b/>
          <w:sz w:val="21"/>
          <w:lang w:val="en-US" w:eastAsia="zh-CN"/>
        </w:rPr>
        <w:t xml:space="preserve">  </w:t>
      </w:r>
      <w:r>
        <w:rPr>
          <w:rFonts w:hint="default" w:ascii="Times New Roman" w:hAnsi="Times New Roman" w:eastAsia="宋体" w:cs="Times New Roman"/>
          <w:b/>
          <w:sz w:val="24"/>
          <w:szCs w:val="24"/>
        </w:rPr>
        <w:t>银行账号：</w:t>
      </w:r>
    </w:p>
    <w:p w14:paraId="7A80EB02">
      <w:pPr>
        <w:pStyle w:val="12"/>
        <w:pageBreakBefore w:val="0"/>
        <w:kinsoku/>
        <w:wordWrap/>
        <w:overflowPunct/>
        <w:topLinePunct w:val="0"/>
        <w:autoSpaceDE/>
        <w:autoSpaceDN/>
        <w:bidi w:val="0"/>
        <w:spacing w:line="400" w:lineRule="exact"/>
        <w:ind w:left="5542" w:hanging="5542" w:hangingChars="2300"/>
        <w:textAlignment w:val="auto"/>
        <w:rPr>
          <w:rFonts w:hint="default" w:ascii="Times New Roman" w:hAnsi="Times New Roman" w:cs="Times New Roman"/>
        </w:rPr>
      </w:pPr>
      <w:r>
        <w:rPr>
          <w:rFonts w:hint="default" w:ascii="Times New Roman" w:hAnsi="Times New Roman" w:eastAsia="宋体" w:cs="Times New Roman"/>
          <w:b/>
          <w:sz w:val="24"/>
          <w:szCs w:val="24"/>
        </w:rPr>
        <w:t>开 户 行：工商银行广州怡乐支行</w:t>
      </w:r>
      <w:r>
        <w:rPr>
          <w:rFonts w:hint="default" w:ascii="Times New Roman" w:hAnsi="Times New Roman" w:cs="Times New Roman"/>
          <w:b/>
          <w:sz w:val="21"/>
        </w:rPr>
        <w:t xml:space="preserve">      </w:t>
      </w:r>
      <w:r>
        <w:rPr>
          <w:rFonts w:hint="default" w:ascii="Times New Roman" w:hAnsi="Times New Roman" w:cs="Times New Roman"/>
          <w:b/>
          <w:sz w:val="21"/>
          <w:lang w:val="en-US" w:eastAsia="zh-CN"/>
        </w:rPr>
        <w:t xml:space="preserve">  </w:t>
      </w:r>
      <w:r>
        <w:rPr>
          <w:rFonts w:hint="default" w:ascii="Times New Roman" w:hAnsi="Times New Roman" w:eastAsia="宋体" w:cs="Times New Roman"/>
          <w:b/>
          <w:sz w:val="24"/>
          <w:szCs w:val="24"/>
        </w:rPr>
        <w:t>开户行：</w:t>
      </w:r>
    </w:p>
    <w:p w14:paraId="19DA58B1">
      <w:pPr>
        <w:pStyle w:val="12"/>
        <w:pageBreakBefore w:val="0"/>
        <w:kinsoku/>
        <w:wordWrap/>
        <w:overflowPunct/>
        <w:topLinePunct w:val="0"/>
        <w:autoSpaceDE/>
        <w:autoSpaceDN/>
        <w:bidi w:val="0"/>
        <w:spacing w:line="400" w:lineRule="exact"/>
        <w:textAlignment w:val="auto"/>
        <w:rPr>
          <w:rFonts w:hint="default" w:ascii="Times New Roman" w:hAnsi="Times New Roman" w:cs="Times New Roman" w:eastAsiaTheme="minorEastAsia"/>
          <w:lang w:val="en-US" w:eastAsia="zh-CN"/>
        </w:rPr>
      </w:pPr>
      <w:r>
        <w:rPr>
          <w:rFonts w:hint="default" w:ascii="Times New Roman" w:hAnsi="Times New Roman" w:cs="Times New Roman"/>
          <w:sz w:val="24"/>
        </w:rPr>
        <w:t>签订地点：</w:t>
      </w:r>
      <w:r>
        <w:rPr>
          <w:rFonts w:hint="default" w:ascii="Times New Roman" w:hAnsi="Times New Roman" w:cs="Times New Roman"/>
          <w:sz w:val="24"/>
          <w:lang w:val="en-US" w:eastAsia="zh-CN"/>
        </w:rPr>
        <w:t>广州</w:t>
      </w:r>
    </w:p>
    <w:p w14:paraId="1807FD7B">
      <w:pPr>
        <w:pageBreakBefore w:val="0"/>
        <w:kinsoku/>
        <w:wordWrap/>
        <w:overflowPunct/>
        <w:topLinePunct w:val="0"/>
        <w:autoSpaceDE/>
        <w:autoSpaceDN/>
        <w:bidi w:val="0"/>
        <w:spacing w:line="400" w:lineRule="exact"/>
        <w:textAlignment w:val="auto"/>
        <w:rPr>
          <w:rFonts w:hint="default" w:ascii="Times New Roman" w:hAnsi="Times New Roman" w:cs="Times New Roman" w:eastAsiaTheme="minorEastAsia"/>
          <w:sz w:val="32"/>
          <w:szCs w:val="24"/>
        </w:rPr>
      </w:pPr>
      <w:r>
        <w:rPr>
          <w:rFonts w:hint="default" w:ascii="Times New Roman" w:hAnsi="Times New Roman" w:cs="Times New Roman" w:eastAsiaTheme="minorEastAsia"/>
          <w:sz w:val="32"/>
          <w:szCs w:val="24"/>
        </w:rPr>
        <w:br w:type="page"/>
      </w:r>
    </w:p>
    <w:p w14:paraId="08C5FAF2">
      <w:pPr>
        <w:pageBreakBefore w:val="0"/>
        <w:kinsoku/>
        <w:wordWrap/>
        <w:overflowPunct/>
        <w:topLinePunct w:val="0"/>
        <w:autoSpaceDE/>
        <w:autoSpaceDN/>
        <w:bidi w:val="0"/>
        <w:spacing w:line="400" w:lineRule="exact"/>
        <w:textAlignment w:val="auto"/>
        <w:rPr>
          <w:rFonts w:hint="default" w:ascii="Times New Roman" w:hAnsi="Times New Roman" w:cs="Times New Roman" w:eastAsiaTheme="minorEastAsia"/>
          <w:b/>
          <w:bCs/>
          <w:color w:val="auto"/>
          <w:sz w:val="32"/>
          <w:szCs w:val="32"/>
          <w:lang w:val="en-US" w:eastAsia="zh-CN"/>
        </w:rPr>
      </w:pPr>
      <w:r>
        <w:rPr>
          <w:rFonts w:hint="default" w:ascii="Times New Roman" w:hAnsi="Times New Roman" w:cs="Times New Roman" w:eastAsiaTheme="minorEastAsia"/>
          <w:b/>
          <w:bCs/>
          <w:color w:val="auto"/>
          <w:sz w:val="32"/>
          <w:szCs w:val="32"/>
          <w:lang w:val="en-US" w:eastAsia="zh-CN"/>
        </w:rPr>
        <w:t>附件：</w:t>
      </w:r>
    </w:p>
    <w:p w14:paraId="4773F1BF">
      <w:pPr>
        <w:pStyle w:val="5"/>
        <w:keepNext/>
        <w:keepLines/>
        <w:pageBreakBefore w:val="0"/>
        <w:widowControl w:val="0"/>
        <w:kinsoku/>
        <w:wordWrap/>
        <w:overflowPunct/>
        <w:topLinePunct w:val="0"/>
        <w:autoSpaceDE/>
        <w:autoSpaceDN/>
        <w:bidi w:val="0"/>
        <w:adjustRightInd/>
        <w:snapToGrid/>
        <w:spacing w:before="80" w:after="80" w:line="400" w:lineRule="exact"/>
        <w:jc w:val="center"/>
        <w:textAlignment w:val="auto"/>
        <w:rPr>
          <w:rFonts w:hint="default" w:ascii="Times New Roman" w:hAnsi="Times New Roman" w:eastAsia="宋体" w:cs="Times New Roman"/>
          <w:color w:val="auto"/>
          <w:sz w:val="28"/>
          <w:szCs w:val="28"/>
          <w:lang w:eastAsia="zh-CN"/>
        </w:rPr>
      </w:pPr>
      <w:r>
        <w:rPr>
          <w:rFonts w:hint="default" w:ascii="Times New Roman" w:hAnsi="Times New Roman" w:cs="Times New Roman"/>
          <w:color w:val="auto"/>
          <w:sz w:val="28"/>
          <w:szCs w:val="28"/>
          <w:lang w:val="en-US" w:eastAsia="zh-CN"/>
        </w:rPr>
        <w:t>一氧化氮治疗仪</w:t>
      </w:r>
      <w:r>
        <w:rPr>
          <w:rFonts w:hint="eastAsia" w:ascii="Times New Roman" w:hAnsi="Times New Roman" w:cs="Times New Roman"/>
          <w:color w:val="auto"/>
          <w:sz w:val="28"/>
          <w:szCs w:val="28"/>
          <w:lang w:val="en-US" w:eastAsia="zh-CN"/>
        </w:rPr>
        <w:t>单台</w:t>
      </w:r>
      <w:r>
        <w:rPr>
          <w:rFonts w:hint="default" w:ascii="Times New Roman" w:hAnsi="Times New Roman" w:cs="Times New Roman"/>
          <w:color w:val="auto"/>
          <w:sz w:val="28"/>
          <w:szCs w:val="28"/>
        </w:rPr>
        <w:t>配置清单</w:t>
      </w:r>
    </w:p>
    <w:tbl>
      <w:tblPr>
        <w:tblStyle w:val="9"/>
        <w:tblW w:w="81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4"/>
        <w:gridCol w:w="3334"/>
        <w:gridCol w:w="2040"/>
        <w:gridCol w:w="2040"/>
      </w:tblGrid>
      <w:tr w14:paraId="1A270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3" w:hRule="atLeast"/>
          <w:jc w:val="center"/>
        </w:trPr>
        <w:tc>
          <w:tcPr>
            <w:tcW w:w="744" w:type="dxa"/>
          </w:tcPr>
          <w:p w14:paraId="6A118EE8">
            <w:pPr>
              <w:keepNext w:val="0"/>
              <w:keepLines w:val="0"/>
              <w:pageBreakBefore w:val="0"/>
              <w:kinsoku/>
              <w:wordWrap/>
              <w:overflowPunct/>
              <w:topLinePunct w:val="0"/>
              <w:bidi w:val="0"/>
              <w:snapToGrid/>
              <w:spacing w:line="576" w:lineRule="exact"/>
              <w:jc w:val="center"/>
              <w:textAlignment w:val="auto"/>
              <w:rPr>
                <w:rFonts w:hint="default" w:ascii="Times New Roman" w:hAnsi="Times New Roman" w:eastAsia="宋体" w:cs="Times New Roman"/>
                <w:sz w:val="24"/>
              </w:rPr>
            </w:pPr>
            <w:r>
              <w:rPr>
                <w:rFonts w:hint="default" w:ascii="Times New Roman" w:hAnsi="Times New Roman" w:eastAsia="宋体" w:cs="Times New Roman"/>
                <w:sz w:val="24"/>
              </w:rPr>
              <w:t>序号</w:t>
            </w:r>
          </w:p>
        </w:tc>
        <w:tc>
          <w:tcPr>
            <w:tcW w:w="3334" w:type="dxa"/>
          </w:tcPr>
          <w:p w14:paraId="5D34ABBF">
            <w:pPr>
              <w:keepNext w:val="0"/>
              <w:keepLines w:val="0"/>
              <w:pageBreakBefore w:val="0"/>
              <w:kinsoku/>
              <w:wordWrap/>
              <w:overflowPunct/>
              <w:topLinePunct w:val="0"/>
              <w:bidi w:val="0"/>
              <w:snapToGrid/>
              <w:spacing w:line="576" w:lineRule="exact"/>
              <w:jc w:val="center"/>
              <w:textAlignment w:val="auto"/>
              <w:rPr>
                <w:rFonts w:hint="default" w:ascii="Times New Roman" w:hAnsi="Times New Roman" w:eastAsia="宋体" w:cs="Times New Roman"/>
                <w:sz w:val="24"/>
              </w:rPr>
            </w:pPr>
            <w:r>
              <w:rPr>
                <w:rFonts w:hint="default" w:ascii="Times New Roman" w:hAnsi="Times New Roman" w:eastAsia="宋体" w:cs="Times New Roman"/>
                <w:sz w:val="24"/>
              </w:rPr>
              <w:t>配置</w:t>
            </w:r>
          </w:p>
        </w:tc>
        <w:tc>
          <w:tcPr>
            <w:tcW w:w="2040" w:type="dxa"/>
          </w:tcPr>
          <w:p w14:paraId="0D136B73">
            <w:pPr>
              <w:keepNext w:val="0"/>
              <w:keepLines w:val="0"/>
              <w:pageBreakBefore w:val="0"/>
              <w:kinsoku/>
              <w:wordWrap/>
              <w:overflowPunct/>
              <w:topLinePunct w:val="0"/>
              <w:bidi w:val="0"/>
              <w:snapToGrid/>
              <w:spacing w:line="576" w:lineRule="exact"/>
              <w:jc w:val="center"/>
              <w:textAlignment w:val="auto"/>
              <w:rPr>
                <w:rFonts w:hint="default" w:ascii="Times New Roman" w:hAnsi="Times New Roman" w:eastAsia="宋体" w:cs="Times New Roman"/>
                <w:sz w:val="24"/>
              </w:rPr>
            </w:pPr>
            <w:r>
              <w:rPr>
                <w:rFonts w:hint="default" w:ascii="Times New Roman" w:hAnsi="Times New Roman" w:eastAsia="宋体" w:cs="Times New Roman"/>
                <w:sz w:val="24"/>
              </w:rPr>
              <w:t>单位</w:t>
            </w:r>
          </w:p>
        </w:tc>
        <w:tc>
          <w:tcPr>
            <w:tcW w:w="2040" w:type="dxa"/>
          </w:tcPr>
          <w:p w14:paraId="0AE6B6B1">
            <w:pPr>
              <w:keepNext w:val="0"/>
              <w:keepLines w:val="0"/>
              <w:pageBreakBefore w:val="0"/>
              <w:kinsoku/>
              <w:wordWrap/>
              <w:overflowPunct/>
              <w:topLinePunct w:val="0"/>
              <w:bidi w:val="0"/>
              <w:snapToGrid/>
              <w:spacing w:line="576" w:lineRule="exact"/>
              <w:jc w:val="center"/>
              <w:textAlignment w:val="auto"/>
              <w:rPr>
                <w:rFonts w:hint="default" w:ascii="Times New Roman" w:hAnsi="Times New Roman" w:eastAsia="宋体" w:cs="Times New Roman"/>
                <w:sz w:val="24"/>
              </w:rPr>
            </w:pPr>
            <w:r>
              <w:rPr>
                <w:rFonts w:hint="default" w:ascii="Times New Roman" w:hAnsi="Times New Roman" w:eastAsia="宋体" w:cs="Times New Roman"/>
                <w:sz w:val="24"/>
              </w:rPr>
              <w:t>数量</w:t>
            </w:r>
          </w:p>
        </w:tc>
      </w:tr>
      <w:tr w14:paraId="52D46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744" w:type="dxa"/>
          </w:tcPr>
          <w:p w14:paraId="29ECDDAB">
            <w:pPr>
              <w:keepNext w:val="0"/>
              <w:keepLines w:val="0"/>
              <w:pageBreakBefore w:val="0"/>
              <w:kinsoku/>
              <w:wordWrap/>
              <w:overflowPunct/>
              <w:topLinePunct w:val="0"/>
              <w:bidi w:val="0"/>
              <w:snapToGrid/>
              <w:spacing w:line="576" w:lineRule="exact"/>
              <w:textAlignment w:val="auto"/>
              <w:rPr>
                <w:rFonts w:hint="default" w:ascii="Times New Roman" w:hAnsi="Times New Roman" w:eastAsia="宋体" w:cs="Times New Roman"/>
                <w:sz w:val="24"/>
              </w:rPr>
            </w:pPr>
            <w:r>
              <w:rPr>
                <w:rFonts w:hint="default" w:ascii="Times New Roman" w:hAnsi="Times New Roman" w:eastAsia="宋体" w:cs="Times New Roman"/>
                <w:sz w:val="24"/>
              </w:rPr>
              <w:t>1</w:t>
            </w:r>
          </w:p>
        </w:tc>
        <w:tc>
          <w:tcPr>
            <w:tcW w:w="3334" w:type="dxa"/>
            <w:vAlign w:val="center"/>
          </w:tcPr>
          <w:p w14:paraId="1A5721BD">
            <w:pPr>
              <w:keepNext w:val="0"/>
              <w:keepLines w:val="0"/>
              <w:pageBreakBefore w:val="0"/>
              <w:kinsoku/>
              <w:wordWrap/>
              <w:overflowPunct/>
              <w:topLinePunct w:val="0"/>
              <w:bidi w:val="0"/>
              <w:snapToGrid/>
              <w:spacing w:line="576" w:lineRule="exact"/>
              <w:jc w:val="left"/>
              <w:textAlignment w:val="auto"/>
              <w:rPr>
                <w:rFonts w:hint="default" w:ascii="Times New Roman" w:hAnsi="Times New Roman" w:eastAsia="宋体" w:cs="Times New Roman"/>
                <w:sz w:val="24"/>
              </w:rPr>
            </w:pPr>
            <w:r>
              <w:rPr>
                <w:rFonts w:hint="default" w:ascii="Times New Roman" w:hAnsi="Times New Roman" w:eastAsia="宋体" w:cs="Times New Roman"/>
                <w:sz w:val="24"/>
              </w:rPr>
              <w:t>主机</w:t>
            </w:r>
          </w:p>
        </w:tc>
        <w:tc>
          <w:tcPr>
            <w:tcW w:w="2040" w:type="dxa"/>
          </w:tcPr>
          <w:p w14:paraId="2AFE3CFF">
            <w:pPr>
              <w:keepNext w:val="0"/>
              <w:keepLines w:val="0"/>
              <w:pageBreakBefore w:val="0"/>
              <w:kinsoku/>
              <w:wordWrap/>
              <w:overflowPunct/>
              <w:topLinePunct w:val="0"/>
              <w:bidi w:val="0"/>
              <w:snapToGrid/>
              <w:spacing w:line="576" w:lineRule="exact"/>
              <w:jc w:val="center"/>
              <w:textAlignment w:val="auto"/>
              <w:rPr>
                <w:rFonts w:hint="default" w:ascii="Times New Roman" w:hAnsi="Times New Roman" w:eastAsia="宋体" w:cs="Times New Roman"/>
                <w:sz w:val="24"/>
              </w:rPr>
            </w:pPr>
            <w:r>
              <w:rPr>
                <w:rFonts w:hint="default" w:ascii="Times New Roman" w:hAnsi="Times New Roman" w:eastAsia="宋体" w:cs="Times New Roman"/>
                <w:sz w:val="24"/>
              </w:rPr>
              <w:t>台</w:t>
            </w:r>
          </w:p>
        </w:tc>
        <w:tc>
          <w:tcPr>
            <w:tcW w:w="2040" w:type="dxa"/>
          </w:tcPr>
          <w:p w14:paraId="03270123">
            <w:pPr>
              <w:keepNext w:val="0"/>
              <w:keepLines w:val="0"/>
              <w:pageBreakBefore w:val="0"/>
              <w:kinsoku/>
              <w:wordWrap/>
              <w:overflowPunct/>
              <w:topLinePunct w:val="0"/>
              <w:bidi w:val="0"/>
              <w:snapToGrid/>
              <w:spacing w:line="576" w:lineRule="exact"/>
              <w:jc w:val="center"/>
              <w:textAlignment w:val="auto"/>
              <w:rPr>
                <w:rFonts w:hint="default" w:ascii="Times New Roman" w:hAnsi="Times New Roman" w:eastAsia="宋体" w:cs="Times New Roman"/>
                <w:sz w:val="24"/>
              </w:rPr>
            </w:pPr>
            <w:r>
              <w:rPr>
                <w:rFonts w:hint="default" w:ascii="Times New Roman" w:hAnsi="Times New Roman" w:eastAsia="宋体" w:cs="Times New Roman"/>
                <w:sz w:val="24"/>
              </w:rPr>
              <w:t>1</w:t>
            </w:r>
          </w:p>
        </w:tc>
      </w:tr>
      <w:tr w14:paraId="4B597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744" w:type="dxa"/>
          </w:tcPr>
          <w:p w14:paraId="1356DBB6">
            <w:pPr>
              <w:keepNext w:val="0"/>
              <w:keepLines w:val="0"/>
              <w:pageBreakBefore w:val="0"/>
              <w:kinsoku/>
              <w:wordWrap/>
              <w:overflowPunct/>
              <w:topLinePunct w:val="0"/>
              <w:bidi w:val="0"/>
              <w:snapToGrid/>
              <w:spacing w:line="576" w:lineRule="exact"/>
              <w:textAlignment w:val="auto"/>
              <w:rPr>
                <w:rFonts w:hint="default" w:ascii="Times New Roman" w:hAnsi="Times New Roman" w:eastAsia="宋体" w:cs="Times New Roman"/>
                <w:sz w:val="24"/>
              </w:rPr>
            </w:pPr>
            <w:r>
              <w:rPr>
                <w:rFonts w:hint="default" w:ascii="Times New Roman" w:hAnsi="Times New Roman" w:eastAsia="宋体" w:cs="Times New Roman"/>
                <w:sz w:val="24"/>
              </w:rPr>
              <w:t>2</w:t>
            </w:r>
          </w:p>
        </w:tc>
        <w:tc>
          <w:tcPr>
            <w:tcW w:w="3334" w:type="dxa"/>
            <w:vAlign w:val="center"/>
          </w:tcPr>
          <w:p w14:paraId="00EC1B93">
            <w:pPr>
              <w:keepNext w:val="0"/>
              <w:keepLines w:val="0"/>
              <w:pageBreakBefore w:val="0"/>
              <w:kinsoku/>
              <w:wordWrap/>
              <w:overflowPunct/>
              <w:topLinePunct w:val="0"/>
              <w:bidi w:val="0"/>
              <w:snapToGrid/>
              <w:spacing w:line="576" w:lineRule="exact"/>
              <w:jc w:val="left"/>
              <w:textAlignment w:val="auto"/>
              <w:rPr>
                <w:rFonts w:hint="default" w:ascii="Times New Roman" w:hAnsi="Times New Roman" w:eastAsia="宋体" w:cs="Times New Roman"/>
                <w:sz w:val="24"/>
              </w:rPr>
            </w:pPr>
            <w:r>
              <w:rPr>
                <w:rFonts w:hint="default" w:ascii="Times New Roman" w:hAnsi="Times New Roman" w:eastAsia="宋体" w:cs="Times New Roman"/>
                <w:sz w:val="24"/>
              </w:rPr>
              <w:t>流量传感器</w:t>
            </w:r>
          </w:p>
        </w:tc>
        <w:tc>
          <w:tcPr>
            <w:tcW w:w="2040" w:type="dxa"/>
          </w:tcPr>
          <w:p w14:paraId="41664BF7">
            <w:pPr>
              <w:keepNext w:val="0"/>
              <w:keepLines w:val="0"/>
              <w:pageBreakBefore w:val="0"/>
              <w:kinsoku/>
              <w:wordWrap/>
              <w:overflowPunct/>
              <w:topLinePunct w:val="0"/>
              <w:bidi w:val="0"/>
              <w:snapToGrid/>
              <w:spacing w:line="576" w:lineRule="exact"/>
              <w:jc w:val="center"/>
              <w:textAlignment w:val="auto"/>
              <w:rPr>
                <w:rFonts w:hint="default" w:ascii="Times New Roman" w:hAnsi="Times New Roman" w:eastAsia="宋体" w:cs="Times New Roman"/>
                <w:sz w:val="24"/>
              </w:rPr>
            </w:pPr>
            <w:r>
              <w:rPr>
                <w:rFonts w:hint="default" w:ascii="Times New Roman" w:hAnsi="Times New Roman" w:eastAsia="宋体" w:cs="Times New Roman"/>
                <w:sz w:val="24"/>
              </w:rPr>
              <w:t>套</w:t>
            </w:r>
          </w:p>
        </w:tc>
        <w:tc>
          <w:tcPr>
            <w:tcW w:w="2040" w:type="dxa"/>
          </w:tcPr>
          <w:p w14:paraId="514CA352">
            <w:pPr>
              <w:keepNext w:val="0"/>
              <w:keepLines w:val="0"/>
              <w:pageBreakBefore w:val="0"/>
              <w:kinsoku/>
              <w:wordWrap/>
              <w:overflowPunct/>
              <w:topLinePunct w:val="0"/>
              <w:bidi w:val="0"/>
              <w:snapToGrid/>
              <w:spacing w:line="576" w:lineRule="exact"/>
              <w:jc w:val="center"/>
              <w:textAlignment w:val="auto"/>
              <w:rPr>
                <w:rFonts w:hint="default" w:ascii="Times New Roman" w:hAnsi="Times New Roman" w:eastAsia="宋体" w:cs="Times New Roman"/>
                <w:sz w:val="24"/>
              </w:rPr>
            </w:pPr>
            <w:r>
              <w:rPr>
                <w:rFonts w:hint="default" w:ascii="Times New Roman" w:hAnsi="Times New Roman" w:eastAsia="宋体" w:cs="Times New Roman"/>
                <w:sz w:val="24"/>
              </w:rPr>
              <w:t>2</w:t>
            </w:r>
          </w:p>
        </w:tc>
      </w:tr>
      <w:tr w14:paraId="651E1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744" w:type="dxa"/>
          </w:tcPr>
          <w:p w14:paraId="23E7976F">
            <w:pPr>
              <w:keepNext w:val="0"/>
              <w:keepLines w:val="0"/>
              <w:pageBreakBefore w:val="0"/>
              <w:kinsoku/>
              <w:wordWrap/>
              <w:overflowPunct/>
              <w:topLinePunct w:val="0"/>
              <w:bidi w:val="0"/>
              <w:snapToGrid/>
              <w:spacing w:line="576" w:lineRule="exact"/>
              <w:textAlignment w:val="auto"/>
              <w:rPr>
                <w:rFonts w:hint="default" w:ascii="Times New Roman" w:hAnsi="Times New Roman" w:eastAsia="宋体" w:cs="Times New Roman"/>
                <w:sz w:val="24"/>
              </w:rPr>
            </w:pPr>
            <w:r>
              <w:rPr>
                <w:rFonts w:hint="default" w:ascii="Times New Roman" w:hAnsi="Times New Roman" w:eastAsia="宋体" w:cs="Times New Roman"/>
                <w:sz w:val="24"/>
              </w:rPr>
              <w:t>3</w:t>
            </w:r>
          </w:p>
        </w:tc>
        <w:tc>
          <w:tcPr>
            <w:tcW w:w="3334" w:type="dxa"/>
            <w:vAlign w:val="center"/>
          </w:tcPr>
          <w:p w14:paraId="725319DC">
            <w:pPr>
              <w:keepNext w:val="0"/>
              <w:keepLines w:val="0"/>
              <w:pageBreakBefore w:val="0"/>
              <w:kinsoku/>
              <w:wordWrap/>
              <w:overflowPunct/>
              <w:topLinePunct w:val="0"/>
              <w:bidi w:val="0"/>
              <w:snapToGrid/>
              <w:spacing w:line="576" w:lineRule="exact"/>
              <w:jc w:val="left"/>
              <w:textAlignment w:val="auto"/>
              <w:rPr>
                <w:rFonts w:hint="default" w:ascii="Times New Roman" w:hAnsi="Times New Roman" w:eastAsia="宋体" w:cs="Times New Roman"/>
                <w:sz w:val="24"/>
              </w:rPr>
            </w:pPr>
            <w:r>
              <w:rPr>
                <w:rFonts w:hint="default" w:ascii="Times New Roman" w:hAnsi="Times New Roman" w:eastAsia="宋体" w:cs="Times New Roman"/>
                <w:sz w:val="24"/>
              </w:rPr>
              <w:t>一氧化氮供气管路</w:t>
            </w:r>
          </w:p>
        </w:tc>
        <w:tc>
          <w:tcPr>
            <w:tcW w:w="2040" w:type="dxa"/>
          </w:tcPr>
          <w:p w14:paraId="642CC899">
            <w:pPr>
              <w:keepNext w:val="0"/>
              <w:keepLines w:val="0"/>
              <w:pageBreakBefore w:val="0"/>
              <w:kinsoku/>
              <w:wordWrap/>
              <w:overflowPunct/>
              <w:topLinePunct w:val="0"/>
              <w:bidi w:val="0"/>
              <w:snapToGrid/>
              <w:spacing w:line="576" w:lineRule="exact"/>
              <w:jc w:val="center"/>
              <w:textAlignment w:val="auto"/>
              <w:rPr>
                <w:rFonts w:hint="default" w:ascii="Times New Roman" w:hAnsi="Times New Roman" w:eastAsia="宋体" w:cs="Times New Roman"/>
                <w:sz w:val="24"/>
              </w:rPr>
            </w:pPr>
            <w:r>
              <w:rPr>
                <w:rFonts w:hint="default" w:ascii="Times New Roman" w:hAnsi="Times New Roman" w:eastAsia="宋体" w:cs="Times New Roman"/>
                <w:sz w:val="24"/>
              </w:rPr>
              <w:t>套</w:t>
            </w:r>
          </w:p>
        </w:tc>
        <w:tc>
          <w:tcPr>
            <w:tcW w:w="2040" w:type="dxa"/>
          </w:tcPr>
          <w:p w14:paraId="38970F1A">
            <w:pPr>
              <w:keepNext w:val="0"/>
              <w:keepLines w:val="0"/>
              <w:pageBreakBefore w:val="0"/>
              <w:kinsoku/>
              <w:wordWrap/>
              <w:overflowPunct/>
              <w:topLinePunct w:val="0"/>
              <w:bidi w:val="0"/>
              <w:snapToGrid/>
              <w:spacing w:line="576" w:lineRule="exact"/>
              <w:jc w:val="center"/>
              <w:textAlignment w:val="auto"/>
              <w:rPr>
                <w:rFonts w:hint="default" w:ascii="Times New Roman" w:hAnsi="Times New Roman" w:eastAsia="宋体" w:cs="Times New Roman"/>
                <w:sz w:val="24"/>
              </w:rPr>
            </w:pPr>
            <w:r>
              <w:rPr>
                <w:rFonts w:hint="default" w:ascii="Times New Roman" w:hAnsi="Times New Roman" w:eastAsia="宋体" w:cs="Times New Roman"/>
                <w:sz w:val="24"/>
              </w:rPr>
              <w:t>2</w:t>
            </w:r>
          </w:p>
        </w:tc>
      </w:tr>
      <w:tr w14:paraId="4C3ED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744" w:type="dxa"/>
          </w:tcPr>
          <w:p w14:paraId="79C8DE14">
            <w:pPr>
              <w:keepNext w:val="0"/>
              <w:keepLines w:val="0"/>
              <w:pageBreakBefore w:val="0"/>
              <w:kinsoku/>
              <w:wordWrap/>
              <w:overflowPunct/>
              <w:topLinePunct w:val="0"/>
              <w:bidi w:val="0"/>
              <w:snapToGrid/>
              <w:spacing w:line="576" w:lineRule="exact"/>
              <w:textAlignment w:val="auto"/>
              <w:rPr>
                <w:rFonts w:hint="default" w:ascii="Times New Roman" w:hAnsi="Times New Roman" w:eastAsia="宋体" w:cs="Times New Roman"/>
                <w:sz w:val="24"/>
              </w:rPr>
            </w:pPr>
            <w:r>
              <w:rPr>
                <w:rFonts w:hint="default" w:ascii="Times New Roman" w:hAnsi="Times New Roman" w:eastAsia="宋体" w:cs="Times New Roman"/>
                <w:sz w:val="24"/>
              </w:rPr>
              <w:t>4</w:t>
            </w:r>
          </w:p>
        </w:tc>
        <w:tc>
          <w:tcPr>
            <w:tcW w:w="3334" w:type="dxa"/>
            <w:vAlign w:val="center"/>
          </w:tcPr>
          <w:p w14:paraId="0FC5834F">
            <w:pPr>
              <w:keepNext w:val="0"/>
              <w:keepLines w:val="0"/>
              <w:pageBreakBefore w:val="0"/>
              <w:kinsoku/>
              <w:wordWrap/>
              <w:overflowPunct/>
              <w:topLinePunct w:val="0"/>
              <w:bidi w:val="0"/>
              <w:snapToGrid/>
              <w:spacing w:line="576" w:lineRule="exact"/>
              <w:jc w:val="left"/>
              <w:textAlignment w:val="auto"/>
              <w:rPr>
                <w:rFonts w:hint="default" w:ascii="Times New Roman" w:hAnsi="Times New Roman" w:eastAsia="宋体" w:cs="Times New Roman"/>
                <w:sz w:val="24"/>
              </w:rPr>
            </w:pPr>
            <w:r>
              <w:rPr>
                <w:rFonts w:hint="default" w:ascii="Times New Roman" w:hAnsi="Times New Roman" w:eastAsia="宋体" w:cs="Times New Roman"/>
                <w:sz w:val="24"/>
              </w:rPr>
              <w:t>流量监测模块数据线</w:t>
            </w:r>
          </w:p>
        </w:tc>
        <w:tc>
          <w:tcPr>
            <w:tcW w:w="2040" w:type="dxa"/>
          </w:tcPr>
          <w:p w14:paraId="4578BCE8">
            <w:pPr>
              <w:keepNext w:val="0"/>
              <w:keepLines w:val="0"/>
              <w:pageBreakBefore w:val="0"/>
              <w:kinsoku/>
              <w:wordWrap/>
              <w:overflowPunct/>
              <w:topLinePunct w:val="0"/>
              <w:bidi w:val="0"/>
              <w:snapToGrid/>
              <w:spacing w:line="576" w:lineRule="exact"/>
              <w:jc w:val="center"/>
              <w:textAlignment w:val="auto"/>
              <w:rPr>
                <w:rFonts w:hint="default" w:ascii="Times New Roman" w:hAnsi="Times New Roman" w:eastAsia="宋体" w:cs="Times New Roman"/>
                <w:sz w:val="24"/>
              </w:rPr>
            </w:pPr>
            <w:r>
              <w:rPr>
                <w:rFonts w:hint="default" w:ascii="Times New Roman" w:hAnsi="Times New Roman" w:eastAsia="宋体" w:cs="Times New Roman"/>
                <w:sz w:val="24"/>
              </w:rPr>
              <w:t>套</w:t>
            </w:r>
          </w:p>
        </w:tc>
        <w:tc>
          <w:tcPr>
            <w:tcW w:w="2040" w:type="dxa"/>
          </w:tcPr>
          <w:p w14:paraId="0DB6BDB4">
            <w:pPr>
              <w:keepNext w:val="0"/>
              <w:keepLines w:val="0"/>
              <w:pageBreakBefore w:val="0"/>
              <w:kinsoku/>
              <w:wordWrap/>
              <w:overflowPunct/>
              <w:topLinePunct w:val="0"/>
              <w:bidi w:val="0"/>
              <w:snapToGrid/>
              <w:spacing w:line="576" w:lineRule="exact"/>
              <w:jc w:val="center"/>
              <w:textAlignment w:val="auto"/>
              <w:rPr>
                <w:rFonts w:hint="default" w:ascii="Times New Roman" w:hAnsi="Times New Roman" w:eastAsia="宋体" w:cs="Times New Roman"/>
                <w:sz w:val="24"/>
              </w:rPr>
            </w:pPr>
            <w:r>
              <w:rPr>
                <w:rFonts w:hint="default" w:ascii="Times New Roman" w:hAnsi="Times New Roman" w:eastAsia="宋体" w:cs="Times New Roman"/>
                <w:sz w:val="24"/>
              </w:rPr>
              <w:t>1</w:t>
            </w:r>
          </w:p>
        </w:tc>
      </w:tr>
      <w:tr w14:paraId="48815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744" w:type="dxa"/>
            <w:shd w:val="clear" w:color="auto" w:fill="auto"/>
          </w:tcPr>
          <w:p w14:paraId="5EF88FA1">
            <w:pPr>
              <w:keepNext w:val="0"/>
              <w:keepLines w:val="0"/>
              <w:pageBreakBefore w:val="0"/>
              <w:kinsoku/>
              <w:wordWrap/>
              <w:overflowPunct/>
              <w:topLinePunct w:val="0"/>
              <w:bidi w:val="0"/>
              <w:snapToGrid/>
              <w:spacing w:line="576" w:lineRule="exact"/>
              <w:textAlignment w:val="auto"/>
              <w:rPr>
                <w:rFonts w:hint="default" w:ascii="Times New Roman" w:hAnsi="Times New Roman" w:eastAsia="宋体" w:cs="Times New Roman"/>
                <w:sz w:val="24"/>
              </w:rPr>
            </w:pPr>
            <w:r>
              <w:rPr>
                <w:rFonts w:hint="default" w:ascii="Times New Roman" w:hAnsi="Times New Roman" w:eastAsia="宋体" w:cs="Times New Roman"/>
                <w:sz w:val="24"/>
              </w:rPr>
              <w:t>5</w:t>
            </w:r>
          </w:p>
        </w:tc>
        <w:tc>
          <w:tcPr>
            <w:tcW w:w="3334" w:type="dxa"/>
            <w:vAlign w:val="center"/>
          </w:tcPr>
          <w:p w14:paraId="4835AAC6">
            <w:pPr>
              <w:keepNext w:val="0"/>
              <w:keepLines w:val="0"/>
              <w:pageBreakBefore w:val="0"/>
              <w:kinsoku/>
              <w:wordWrap/>
              <w:overflowPunct/>
              <w:topLinePunct w:val="0"/>
              <w:bidi w:val="0"/>
              <w:snapToGrid/>
              <w:spacing w:line="576" w:lineRule="exact"/>
              <w:jc w:val="left"/>
              <w:textAlignment w:val="auto"/>
              <w:rPr>
                <w:rFonts w:hint="default" w:ascii="Times New Roman" w:hAnsi="Times New Roman" w:eastAsia="宋体" w:cs="Times New Roman"/>
                <w:sz w:val="24"/>
              </w:rPr>
            </w:pPr>
            <w:r>
              <w:rPr>
                <w:rFonts w:hint="default" w:ascii="Times New Roman" w:hAnsi="Times New Roman" w:eastAsia="宋体" w:cs="Times New Roman"/>
                <w:sz w:val="24"/>
              </w:rPr>
              <w:t>压缩空气进气管</w:t>
            </w:r>
          </w:p>
        </w:tc>
        <w:tc>
          <w:tcPr>
            <w:tcW w:w="2040" w:type="dxa"/>
          </w:tcPr>
          <w:p w14:paraId="038E4940">
            <w:pPr>
              <w:keepNext w:val="0"/>
              <w:keepLines w:val="0"/>
              <w:pageBreakBefore w:val="0"/>
              <w:kinsoku/>
              <w:wordWrap/>
              <w:overflowPunct/>
              <w:topLinePunct w:val="0"/>
              <w:bidi w:val="0"/>
              <w:snapToGrid/>
              <w:spacing w:line="576" w:lineRule="exact"/>
              <w:jc w:val="center"/>
              <w:textAlignment w:val="auto"/>
              <w:rPr>
                <w:rFonts w:hint="default" w:ascii="Times New Roman" w:hAnsi="Times New Roman" w:eastAsia="宋体" w:cs="Times New Roman"/>
                <w:sz w:val="24"/>
              </w:rPr>
            </w:pPr>
            <w:r>
              <w:rPr>
                <w:rFonts w:hint="default" w:ascii="Times New Roman" w:hAnsi="Times New Roman" w:eastAsia="宋体" w:cs="Times New Roman"/>
                <w:sz w:val="24"/>
              </w:rPr>
              <w:t>套</w:t>
            </w:r>
          </w:p>
        </w:tc>
        <w:tc>
          <w:tcPr>
            <w:tcW w:w="2040" w:type="dxa"/>
          </w:tcPr>
          <w:p w14:paraId="026EADEF">
            <w:pPr>
              <w:keepNext w:val="0"/>
              <w:keepLines w:val="0"/>
              <w:pageBreakBefore w:val="0"/>
              <w:kinsoku/>
              <w:wordWrap/>
              <w:overflowPunct/>
              <w:topLinePunct w:val="0"/>
              <w:bidi w:val="0"/>
              <w:snapToGrid/>
              <w:spacing w:line="576" w:lineRule="exact"/>
              <w:jc w:val="center"/>
              <w:textAlignment w:val="auto"/>
              <w:rPr>
                <w:rFonts w:hint="default" w:ascii="Times New Roman" w:hAnsi="Times New Roman" w:eastAsia="宋体" w:cs="Times New Roman"/>
                <w:sz w:val="24"/>
              </w:rPr>
            </w:pPr>
            <w:r>
              <w:rPr>
                <w:rFonts w:hint="default" w:ascii="Times New Roman" w:hAnsi="Times New Roman" w:eastAsia="宋体" w:cs="Times New Roman"/>
                <w:sz w:val="24"/>
              </w:rPr>
              <w:t>1</w:t>
            </w:r>
          </w:p>
        </w:tc>
      </w:tr>
      <w:tr w14:paraId="3C1DC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744" w:type="dxa"/>
          </w:tcPr>
          <w:p w14:paraId="33B61FD1">
            <w:pPr>
              <w:keepNext w:val="0"/>
              <w:keepLines w:val="0"/>
              <w:pageBreakBefore w:val="0"/>
              <w:kinsoku/>
              <w:wordWrap/>
              <w:overflowPunct/>
              <w:topLinePunct w:val="0"/>
              <w:bidi w:val="0"/>
              <w:snapToGrid/>
              <w:spacing w:line="576" w:lineRule="exact"/>
              <w:textAlignment w:val="auto"/>
              <w:rPr>
                <w:rFonts w:hint="default" w:ascii="Times New Roman" w:hAnsi="Times New Roman" w:eastAsia="宋体" w:cs="Times New Roman"/>
                <w:sz w:val="24"/>
              </w:rPr>
            </w:pPr>
            <w:r>
              <w:rPr>
                <w:rFonts w:hint="default" w:ascii="Times New Roman" w:hAnsi="Times New Roman" w:eastAsia="宋体" w:cs="Times New Roman"/>
                <w:sz w:val="24"/>
              </w:rPr>
              <w:t>6</w:t>
            </w:r>
          </w:p>
        </w:tc>
        <w:tc>
          <w:tcPr>
            <w:tcW w:w="3334" w:type="dxa"/>
            <w:shd w:val="clear" w:color="auto" w:fill="auto"/>
            <w:vAlign w:val="center"/>
          </w:tcPr>
          <w:p w14:paraId="127AE219">
            <w:pPr>
              <w:keepNext w:val="0"/>
              <w:keepLines w:val="0"/>
              <w:pageBreakBefore w:val="0"/>
              <w:kinsoku/>
              <w:wordWrap/>
              <w:overflowPunct/>
              <w:topLinePunct w:val="0"/>
              <w:bidi w:val="0"/>
              <w:snapToGrid/>
              <w:spacing w:line="576" w:lineRule="exact"/>
              <w:jc w:val="left"/>
              <w:textAlignment w:val="auto"/>
              <w:rPr>
                <w:rFonts w:hint="default" w:ascii="Times New Roman" w:hAnsi="Times New Roman" w:eastAsia="宋体" w:cs="Times New Roman"/>
                <w:sz w:val="24"/>
              </w:rPr>
            </w:pPr>
            <w:r>
              <w:rPr>
                <w:rFonts w:hint="default" w:ascii="Times New Roman" w:hAnsi="Times New Roman" w:eastAsia="宋体" w:cs="Times New Roman"/>
                <w:sz w:val="24"/>
              </w:rPr>
              <w:t>推车</w:t>
            </w:r>
          </w:p>
        </w:tc>
        <w:tc>
          <w:tcPr>
            <w:tcW w:w="2040" w:type="dxa"/>
            <w:shd w:val="clear" w:color="auto" w:fill="auto"/>
          </w:tcPr>
          <w:p w14:paraId="636A67B8">
            <w:pPr>
              <w:keepNext w:val="0"/>
              <w:keepLines w:val="0"/>
              <w:pageBreakBefore w:val="0"/>
              <w:kinsoku/>
              <w:wordWrap/>
              <w:overflowPunct/>
              <w:topLinePunct w:val="0"/>
              <w:bidi w:val="0"/>
              <w:snapToGrid/>
              <w:spacing w:line="576" w:lineRule="exact"/>
              <w:jc w:val="center"/>
              <w:textAlignment w:val="auto"/>
              <w:rPr>
                <w:rFonts w:hint="default" w:ascii="Times New Roman" w:hAnsi="Times New Roman" w:eastAsia="宋体" w:cs="Times New Roman"/>
                <w:sz w:val="24"/>
              </w:rPr>
            </w:pPr>
            <w:r>
              <w:rPr>
                <w:rFonts w:hint="default" w:ascii="Times New Roman" w:hAnsi="Times New Roman" w:eastAsia="宋体" w:cs="Times New Roman"/>
                <w:sz w:val="24"/>
              </w:rPr>
              <w:t>个</w:t>
            </w:r>
          </w:p>
        </w:tc>
        <w:tc>
          <w:tcPr>
            <w:tcW w:w="2040" w:type="dxa"/>
            <w:shd w:val="clear" w:color="auto" w:fill="auto"/>
          </w:tcPr>
          <w:p w14:paraId="1A7DB410">
            <w:pPr>
              <w:keepNext w:val="0"/>
              <w:keepLines w:val="0"/>
              <w:pageBreakBefore w:val="0"/>
              <w:kinsoku/>
              <w:wordWrap/>
              <w:overflowPunct/>
              <w:topLinePunct w:val="0"/>
              <w:bidi w:val="0"/>
              <w:snapToGrid/>
              <w:spacing w:line="576" w:lineRule="exact"/>
              <w:jc w:val="center"/>
              <w:textAlignment w:val="auto"/>
              <w:rPr>
                <w:rFonts w:hint="default" w:ascii="Times New Roman" w:hAnsi="Times New Roman" w:eastAsia="宋体" w:cs="Times New Roman"/>
                <w:sz w:val="24"/>
              </w:rPr>
            </w:pPr>
            <w:r>
              <w:rPr>
                <w:rFonts w:hint="default" w:ascii="Times New Roman" w:hAnsi="Times New Roman" w:eastAsia="宋体" w:cs="Times New Roman"/>
                <w:sz w:val="24"/>
              </w:rPr>
              <w:t>1</w:t>
            </w:r>
          </w:p>
        </w:tc>
      </w:tr>
    </w:tbl>
    <w:p w14:paraId="567098CC">
      <w:pPr>
        <w:pStyle w:val="7"/>
        <w:pageBreakBefore w:val="0"/>
        <w:kinsoku/>
        <w:wordWrap/>
        <w:overflowPunct/>
        <w:topLinePunct w:val="0"/>
        <w:autoSpaceDE/>
        <w:autoSpaceDN/>
        <w:bidi w:val="0"/>
        <w:spacing w:line="400" w:lineRule="exact"/>
        <w:ind w:firstLine="2361" w:firstLineChars="980"/>
        <w:textAlignment w:val="auto"/>
        <w:rPr>
          <w:rFonts w:hint="default" w:ascii="Times New Roman" w:hAnsi="Times New Roman" w:cs="Times New Roman"/>
          <w:b/>
          <w:color w:val="auto"/>
          <w:sz w:val="24"/>
          <w:szCs w:val="24"/>
        </w:rPr>
      </w:pPr>
    </w:p>
    <w:p w14:paraId="00540305">
      <w:pPr>
        <w:pageBreakBefore w:val="0"/>
        <w:kinsoku/>
        <w:wordWrap/>
        <w:overflowPunct/>
        <w:topLinePunct w:val="0"/>
        <w:autoSpaceDE/>
        <w:autoSpaceDN/>
        <w:bidi w:val="0"/>
        <w:spacing w:line="400" w:lineRule="exact"/>
        <w:textAlignment w:val="auto"/>
        <w:rPr>
          <w:rFonts w:hint="default" w:ascii="Times New Roman" w:hAnsi="Times New Roman" w:cs="Times New Roman" w:eastAsiaTheme="minorEastAsia"/>
          <w:b/>
          <w:bCs/>
          <w:color w:val="auto"/>
          <w:sz w:val="32"/>
          <w:szCs w:val="32"/>
          <w:lang w:val="en-US" w:eastAsia="zh-CN"/>
        </w:rPr>
      </w:pPr>
    </w:p>
    <w:p w14:paraId="7732496C">
      <w:pPr>
        <w:pageBreakBefore w:val="0"/>
        <w:kinsoku/>
        <w:wordWrap/>
        <w:overflowPunct/>
        <w:topLinePunct w:val="0"/>
        <w:autoSpaceDE/>
        <w:autoSpaceDN/>
        <w:bidi w:val="0"/>
        <w:spacing w:line="400" w:lineRule="exact"/>
        <w:textAlignment w:val="auto"/>
        <w:rPr>
          <w:rFonts w:hint="default" w:ascii="Times New Roman" w:hAnsi="Times New Roman" w:cs="Times New Roman" w:eastAsiaTheme="minorEastAsia"/>
          <w:b/>
          <w:bCs/>
          <w:color w:val="auto"/>
          <w:sz w:val="32"/>
          <w:szCs w:val="32"/>
          <w:lang w:val="en-US" w:eastAsia="zh-CN"/>
        </w:rPr>
      </w:pPr>
    </w:p>
    <w:p w14:paraId="1FCB88E2">
      <w:pPr>
        <w:pageBreakBefore w:val="0"/>
        <w:kinsoku/>
        <w:wordWrap/>
        <w:overflowPunct/>
        <w:topLinePunct w:val="0"/>
        <w:autoSpaceDE/>
        <w:autoSpaceDN/>
        <w:bidi w:val="0"/>
        <w:spacing w:line="400" w:lineRule="exact"/>
        <w:textAlignment w:val="auto"/>
        <w:rPr>
          <w:rFonts w:hint="default" w:ascii="Times New Roman" w:hAnsi="Times New Roman" w:cs="Times New Roman" w:eastAsiaTheme="minorEastAsia"/>
          <w:b/>
          <w:bCs/>
          <w:color w:val="auto"/>
          <w:sz w:val="32"/>
          <w:szCs w:val="32"/>
          <w:lang w:val="en-US" w:eastAsia="zh-CN"/>
        </w:rPr>
      </w:pPr>
    </w:p>
    <w:p w14:paraId="18FE0338">
      <w:pPr>
        <w:pageBreakBefore w:val="0"/>
        <w:kinsoku/>
        <w:wordWrap/>
        <w:overflowPunct/>
        <w:topLinePunct w:val="0"/>
        <w:autoSpaceDE/>
        <w:autoSpaceDN/>
        <w:bidi w:val="0"/>
        <w:spacing w:line="400" w:lineRule="exact"/>
        <w:textAlignment w:val="auto"/>
        <w:rPr>
          <w:rFonts w:hint="default" w:ascii="Times New Roman" w:hAnsi="Times New Roman" w:cs="Times New Roman" w:eastAsiaTheme="minorEastAsia"/>
          <w:b/>
          <w:bCs/>
          <w:color w:val="auto"/>
          <w:sz w:val="32"/>
          <w:szCs w:val="32"/>
          <w:lang w:val="en-US" w:eastAsia="zh-CN"/>
        </w:rPr>
      </w:pPr>
    </w:p>
    <w:p w14:paraId="620C2490">
      <w:pPr>
        <w:pageBreakBefore w:val="0"/>
        <w:kinsoku/>
        <w:wordWrap/>
        <w:overflowPunct/>
        <w:topLinePunct w:val="0"/>
        <w:autoSpaceDE/>
        <w:autoSpaceDN/>
        <w:bidi w:val="0"/>
        <w:spacing w:line="400" w:lineRule="exact"/>
        <w:textAlignment w:val="auto"/>
        <w:rPr>
          <w:rFonts w:hint="default" w:ascii="Times New Roman" w:hAnsi="Times New Roman" w:cs="Times New Roman" w:eastAsiaTheme="minorEastAsia"/>
          <w:b/>
          <w:bCs/>
          <w:color w:val="auto"/>
          <w:sz w:val="32"/>
          <w:szCs w:val="32"/>
          <w:lang w:val="en-US" w:eastAsia="zh-CN"/>
        </w:rPr>
      </w:pPr>
    </w:p>
    <w:p w14:paraId="3EB5E0C7">
      <w:pPr>
        <w:pStyle w:val="12"/>
        <w:pageBreakBefore w:val="0"/>
        <w:kinsoku/>
        <w:wordWrap/>
        <w:overflowPunct/>
        <w:topLinePunct w:val="0"/>
        <w:autoSpaceDE/>
        <w:autoSpaceDN/>
        <w:bidi w:val="0"/>
        <w:spacing w:line="400" w:lineRule="exact"/>
        <w:jc w:val="center"/>
        <w:textAlignment w:val="auto"/>
        <w:rPr>
          <w:rFonts w:hint="default" w:ascii="Times New Roman" w:hAnsi="Times New Roman" w:cs="Times New Roman"/>
          <w:sz w:val="32"/>
        </w:rPr>
      </w:pPr>
    </w:p>
    <w:p w14:paraId="2AC9DBC0">
      <w:pPr>
        <w:pStyle w:val="12"/>
        <w:pageBreakBefore w:val="0"/>
        <w:kinsoku/>
        <w:wordWrap/>
        <w:overflowPunct/>
        <w:topLinePunct w:val="0"/>
        <w:autoSpaceDE/>
        <w:autoSpaceDN/>
        <w:bidi w:val="0"/>
        <w:spacing w:line="400" w:lineRule="exact"/>
        <w:jc w:val="center"/>
        <w:textAlignment w:val="auto"/>
        <w:rPr>
          <w:rFonts w:hint="default" w:ascii="Times New Roman" w:hAnsi="Times New Roman" w:cs="Times New Roman"/>
          <w:sz w:val="32"/>
        </w:rPr>
      </w:pPr>
    </w:p>
    <w:p w14:paraId="6F0150BD">
      <w:pPr>
        <w:pStyle w:val="12"/>
        <w:pageBreakBefore w:val="0"/>
        <w:kinsoku/>
        <w:wordWrap/>
        <w:overflowPunct/>
        <w:topLinePunct w:val="0"/>
        <w:autoSpaceDE/>
        <w:autoSpaceDN/>
        <w:bidi w:val="0"/>
        <w:spacing w:line="400" w:lineRule="exact"/>
        <w:jc w:val="center"/>
        <w:textAlignment w:val="auto"/>
        <w:rPr>
          <w:rFonts w:hint="default" w:ascii="Times New Roman" w:hAnsi="Times New Roman" w:cs="Times New Roman"/>
          <w:sz w:val="32"/>
        </w:rPr>
      </w:pPr>
    </w:p>
    <w:p w14:paraId="2154242F">
      <w:pPr>
        <w:pageBreakBefore w:val="0"/>
        <w:kinsoku/>
        <w:wordWrap/>
        <w:overflowPunct/>
        <w:topLinePunct w:val="0"/>
        <w:autoSpaceDE/>
        <w:autoSpaceDN/>
        <w:bidi w:val="0"/>
        <w:spacing w:line="400" w:lineRule="exact"/>
        <w:textAlignment w:val="auto"/>
        <w:rPr>
          <w:rFonts w:hint="default" w:ascii="Times New Roman" w:hAnsi="Times New Roman" w:eastAsia="方正小标宋简体" w:cs="Times New Roman"/>
          <w:sz w:val="32"/>
          <w:szCs w:val="32"/>
        </w:rPr>
      </w:pPr>
      <w:r>
        <w:rPr>
          <w:rFonts w:hint="default" w:ascii="Times New Roman" w:hAnsi="Times New Roman" w:eastAsia="方正小标宋简体" w:cs="Times New Roman"/>
          <w:sz w:val="32"/>
          <w:szCs w:val="32"/>
        </w:rPr>
        <w:br w:type="page"/>
      </w:r>
    </w:p>
    <w:p w14:paraId="10786618">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方正小标宋简体" w:cs="Times New Roman"/>
          <w:sz w:val="32"/>
          <w:szCs w:val="32"/>
        </w:rPr>
      </w:pPr>
      <w:r>
        <w:rPr>
          <w:rFonts w:hint="default" w:ascii="Times New Roman" w:hAnsi="Times New Roman" w:eastAsia="方正小标宋简体" w:cs="Times New Roman"/>
          <w:sz w:val="32"/>
          <w:szCs w:val="32"/>
        </w:rPr>
        <w:t>广东省第一荣军</w:t>
      </w:r>
      <w:r>
        <w:rPr>
          <w:rFonts w:hint="default" w:ascii="Times New Roman" w:hAnsi="Times New Roman" w:eastAsia="方正小标宋简体" w:cs="Times New Roman"/>
          <w:sz w:val="32"/>
          <w:szCs w:val="32"/>
          <w:lang w:eastAsia="zh-CN"/>
        </w:rPr>
        <w:t>优抚</w:t>
      </w:r>
      <w:r>
        <w:rPr>
          <w:rFonts w:hint="default" w:ascii="Times New Roman" w:hAnsi="Times New Roman" w:eastAsia="方正小标宋简体" w:cs="Times New Roman"/>
          <w:sz w:val="32"/>
          <w:szCs w:val="32"/>
        </w:rPr>
        <w:t>医院廉洁承诺书</w:t>
      </w:r>
    </w:p>
    <w:p w14:paraId="24C6D53C">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cs="Times New Roman" w:eastAsiaTheme="minorEastAsia"/>
          <w:szCs w:val="21"/>
        </w:rPr>
      </w:pPr>
    </w:p>
    <w:p w14:paraId="604787D5">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甲方：广东省第一荣军</w:t>
      </w:r>
      <w:r>
        <w:rPr>
          <w:rFonts w:hint="default" w:ascii="Times New Roman" w:hAnsi="Times New Roman" w:cs="Times New Roman" w:eastAsiaTheme="minorEastAsia"/>
          <w:szCs w:val="21"/>
          <w:lang w:eastAsia="zh-CN"/>
        </w:rPr>
        <w:t>优抚</w:t>
      </w:r>
      <w:r>
        <w:rPr>
          <w:rFonts w:hint="default" w:ascii="Times New Roman" w:hAnsi="Times New Roman" w:cs="Times New Roman" w:eastAsiaTheme="minorEastAsia"/>
          <w:szCs w:val="21"/>
        </w:rPr>
        <w:t>医院</w:t>
      </w:r>
    </w:p>
    <w:p w14:paraId="2ACEF9DB">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乙方：</w:t>
      </w:r>
      <w:r>
        <w:rPr>
          <w:rFonts w:hint="default" w:ascii="Times New Roman" w:hAnsi="Times New Roman" w:cs="Times New Roman" w:eastAsiaTheme="minorEastAsia"/>
          <w:szCs w:val="21"/>
          <w:lang w:val="en-US" w:eastAsia="zh-CN"/>
        </w:rPr>
        <w:t>XX</w:t>
      </w:r>
      <w:r>
        <w:rPr>
          <w:rFonts w:hint="default" w:ascii="Times New Roman" w:hAnsi="Times New Roman" w:cs="Times New Roman" w:eastAsiaTheme="minorEastAsia"/>
          <w:szCs w:val="21"/>
        </w:rPr>
        <w:t>公司</w:t>
      </w:r>
    </w:p>
    <w:p w14:paraId="683E510D">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cs="Times New Roman" w:eastAsiaTheme="minorEastAsia"/>
          <w:szCs w:val="21"/>
        </w:rPr>
      </w:pPr>
    </w:p>
    <w:p w14:paraId="2D7E8A72">
      <w:pPr>
        <w:keepNext w:val="0"/>
        <w:keepLines w:val="0"/>
        <w:pageBreakBefore w:val="0"/>
        <w:widowControl w:val="0"/>
        <w:kinsoku/>
        <w:wordWrap/>
        <w:overflowPunct/>
        <w:topLinePunct w:val="0"/>
        <w:autoSpaceDE/>
        <w:autoSpaceDN/>
        <w:bidi w:val="0"/>
        <w:adjustRightInd w:val="0"/>
        <w:snapToGrid w:val="0"/>
        <w:spacing w:line="400" w:lineRule="exact"/>
        <w:ind w:firstLine="660"/>
        <w:textAlignment w:val="auto"/>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为切实加强物资采购、基建工程项目等领域的党风廉政建设，严格遵守廉洁从业有关规定，有效防范商业贿赂，规范购销行为，制止各种违法违纪行为、腐败问题的发生，确保将物资采购、基建工程项目等日常采购工作打造成为廉洁工程，促进医院各项工作又好又快发展，经双方协商签署如下</w:t>
      </w:r>
      <w:r>
        <w:rPr>
          <w:rFonts w:hint="default" w:ascii="Times New Roman" w:hAnsi="Times New Roman" w:cs="Times New Roman" w:eastAsiaTheme="minorEastAsia"/>
          <w:szCs w:val="21"/>
          <w:lang w:val="en-US" w:eastAsia="zh-CN"/>
        </w:rPr>
        <w:t>承诺书</w:t>
      </w:r>
      <w:r>
        <w:rPr>
          <w:rFonts w:hint="default" w:ascii="Times New Roman" w:hAnsi="Times New Roman" w:cs="Times New Roman" w:eastAsiaTheme="minorEastAsia"/>
          <w:szCs w:val="21"/>
        </w:rPr>
        <w:t>：</w:t>
      </w:r>
    </w:p>
    <w:p w14:paraId="64A4593F">
      <w:pPr>
        <w:keepNext w:val="0"/>
        <w:keepLines w:val="0"/>
        <w:pageBreakBefore w:val="0"/>
        <w:widowControl w:val="0"/>
        <w:kinsoku/>
        <w:wordWrap/>
        <w:overflowPunct/>
        <w:topLinePunct w:val="0"/>
        <w:autoSpaceDE/>
        <w:autoSpaceDN/>
        <w:bidi w:val="0"/>
        <w:adjustRightInd w:val="0"/>
        <w:snapToGrid w:val="0"/>
        <w:spacing w:line="400" w:lineRule="exact"/>
        <w:ind w:firstLine="660"/>
        <w:textAlignment w:val="auto"/>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一、本</w:t>
      </w:r>
      <w:r>
        <w:rPr>
          <w:rFonts w:hint="default" w:ascii="Times New Roman" w:hAnsi="Times New Roman" w:cs="Times New Roman" w:eastAsiaTheme="minorEastAsia"/>
          <w:szCs w:val="21"/>
          <w:lang w:val="en-US" w:eastAsia="zh-CN"/>
        </w:rPr>
        <w:t>承诺书</w:t>
      </w:r>
      <w:r>
        <w:rPr>
          <w:rFonts w:hint="default" w:ascii="Times New Roman" w:hAnsi="Times New Roman" w:cs="Times New Roman" w:eastAsiaTheme="minorEastAsia"/>
          <w:szCs w:val="21"/>
        </w:rPr>
        <w:t>所指采购工作是指以总务科牵头组织的物资采购、基建工程（含工程预算编制、工程招投标、工程监理、工程审核等）、设备维修（维保）、车辆维修保养等。</w:t>
      </w:r>
    </w:p>
    <w:p w14:paraId="3FE65101">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 xml:space="preserve">    </w:t>
      </w:r>
      <w:r>
        <w:rPr>
          <w:rFonts w:hint="default" w:ascii="Times New Roman" w:hAnsi="Times New Roman" w:cs="Times New Roman" w:eastAsiaTheme="minorEastAsia"/>
          <w:szCs w:val="21"/>
          <w:lang w:val="en-US" w:eastAsia="zh-CN"/>
        </w:rPr>
        <w:t xml:space="preserve">  </w:t>
      </w:r>
      <w:r>
        <w:rPr>
          <w:rFonts w:hint="default" w:ascii="Times New Roman" w:hAnsi="Times New Roman" w:cs="Times New Roman" w:eastAsiaTheme="minorEastAsia"/>
          <w:szCs w:val="21"/>
        </w:rPr>
        <w:t>二、甲、乙双方严格遵守党纪国法和各项政策规定，将廉政建设和从业规定的各项要求贯彻始终，廉洁自律、加强监督，确保将物资采购、基建工程项目等建设成为廉洁工程。</w:t>
      </w:r>
    </w:p>
    <w:p w14:paraId="3A7A3627">
      <w:pPr>
        <w:keepNext w:val="0"/>
        <w:keepLines w:val="0"/>
        <w:pageBreakBefore w:val="0"/>
        <w:widowControl w:val="0"/>
        <w:kinsoku/>
        <w:wordWrap/>
        <w:overflowPunct/>
        <w:topLinePunct w:val="0"/>
        <w:autoSpaceDE/>
        <w:autoSpaceDN/>
        <w:bidi w:val="0"/>
        <w:adjustRightInd w:val="0"/>
        <w:snapToGrid w:val="0"/>
        <w:spacing w:line="400" w:lineRule="exact"/>
        <w:ind w:firstLine="630"/>
        <w:textAlignment w:val="auto"/>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三、甲方工作人员不得参加涉及可能影响公正公平的宴请和商务活动。</w:t>
      </w:r>
    </w:p>
    <w:p w14:paraId="573EA89E">
      <w:pPr>
        <w:keepNext w:val="0"/>
        <w:keepLines w:val="0"/>
        <w:pageBreakBefore w:val="0"/>
        <w:widowControl w:val="0"/>
        <w:kinsoku/>
        <w:wordWrap/>
        <w:overflowPunct/>
        <w:topLinePunct w:val="0"/>
        <w:autoSpaceDE/>
        <w:autoSpaceDN/>
        <w:bidi w:val="0"/>
        <w:adjustRightInd w:val="0"/>
        <w:snapToGrid w:val="0"/>
        <w:spacing w:line="400" w:lineRule="exact"/>
        <w:ind w:firstLine="630"/>
        <w:textAlignment w:val="auto"/>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四、甲方工作人员不得索要或收受乙方及其工作人员的红包、有价证券、贵重礼品等，不得索要或收受各种名义的回扣、手续费等好处费。</w:t>
      </w:r>
    </w:p>
    <w:p w14:paraId="781A175B">
      <w:pPr>
        <w:keepNext w:val="0"/>
        <w:keepLines w:val="0"/>
        <w:pageBreakBefore w:val="0"/>
        <w:widowControl w:val="0"/>
        <w:kinsoku/>
        <w:wordWrap/>
        <w:overflowPunct/>
        <w:topLinePunct w:val="0"/>
        <w:autoSpaceDE/>
        <w:autoSpaceDN/>
        <w:bidi w:val="0"/>
        <w:adjustRightInd w:val="0"/>
        <w:snapToGrid w:val="0"/>
        <w:spacing w:line="400" w:lineRule="exact"/>
        <w:ind w:firstLine="630"/>
        <w:textAlignment w:val="auto"/>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五、乙方及其工作人员不得以任何形式向甲方工作人员（含家属或亲友）行贿，乙方不得以各种借口邀请甲方工作人员参加可能影响今后工作的宴请、外出游玩和各种娱乐活动。</w:t>
      </w:r>
    </w:p>
    <w:p w14:paraId="5D04B9E1">
      <w:pPr>
        <w:keepNext w:val="0"/>
        <w:keepLines w:val="0"/>
        <w:pageBreakBefore w:val="0"/>
        <w:widowControl w:val="0"/>
        <w:kinsoku/>
        <w:wordWrap/>
        <w:overflowPunct/>
        <w:topLinePunct w:val="0"/>
        <w:autoSpaceDE/>
        <w:autoSpaceDN/>
        <w:bidi w:val="0"/>
        <w:adjustRightInd w:val="0"/>
        <w:snapToGrid w:val="0"/>
        <w:spacing w:line="400" w:lineRule="exact"/>
        <w:ind w:firstLine="630"/>
        <w:textAlignment w:val="auto"/>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六、经查实无论是因甲方原因，或者乙方原因违反本</w:t>
      </w:r>
      <w:r>
        <w:rPr>
          <w:rFonts w:hint="default" w:ascii="Times New Roman" w:hAnsi="Times New Roman" w:cs="Times New Roman" w:eastAsiaTheme="minorEastAsia"/>
          <w:szCs w:val="21"/>
          <w:lang w:val="en-US" w:eastAsia="zh-CN"/>
        </w:rPr>
        <w:t>承诺书</w:t>
      </w:r>
      <w:r>
        <w:rPr>
          <w:rFonts w:hint="default" w:ascii="Times New Roman" w:hAnsi="Times New Roman" w:cs="Times New Roman" w:eastAsiaTheme="minorEastAsia"/>
          <w:szCs w:val="21"/>
        </w:rPr>
        <w:t>的，甲方有权终止购销合同，乙方因甲方解除合同产生的损失由乙方自行承担，甲方因此遭受损失由乙方赔偿，并向有关政府部门报告及视情况按相关情况处理。</w:t>
      </w:r>
    </w:p>
    <w:p w14:paraId="721E7D12">
      <w:pPr>
        <w:keepNext w:val="0"/>
        <w:keepLines w:val="0"/>
        <w:pageBreakBefore w:val="0"/>
        <w:widowControl w:val="0"/>
        <w:kinsoku/>
        <w:wordWrap/>
        <w:overflowPunct/>
        <w:topLinePunct w:val="0"/>
        <w:autoSpaceDE/>
        <w:autoSpaceDN/>
        <w:bidi w:val="0"/>
        <w:adjustRightInd w:val="0"/>
        <w:snapToGrid w:val="0"/>
        <w:spacing w:line="400" w:lineRule="exact"/>
        <w:ind w:firstLine="630"/>
        <w:textAlignment w:val="auto"/>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七、本</w:t>
      </w:r>
      <w:r>
        <w:rPr>
          <w:rFonts w:hint="default" w:ascii="Times New Roman" w:hAnsi="Times New Roman" w:cs="Times New Roman" w:eastAsiaTheme="minorEastAsia"/>
          <w:szCs w:val="21"/>
          <w:lang w:val="en-US" w:eastAsia="zh-CN"/>
        </w:rPr>
        <w:t>承诺书</w:t>
      </w:r>
      <w:r>
        <w:rPr>
          <w:rFonts w:hint="default" w:ascii="Times New Roman" w:hAnsi="Times New Roman" w:cs="Times New Roman" w:eastAsiaTheme="minorEastAsia"/>
          <w:szCs w:val="21"/>
        </w:rPr>
        <w:t>作为物资采购、基建工程项目采购合同的重要组成部分，与正式签订的物资采购、基建工程项目实施合同一并执行且具有同等法律效力。</w:t>
      </w:r>
    </w:p>
    <w:p w14:paraId="3EDD5095">
      <w:pPr>
        <w:keepNext w:val="0"/>
        <w:keepLines w:val="0"/>
        <w:pageBreakBefore w:val="0"/>
        <w:widowControl w:val="0"/>
        <w:kinsoku/>
        <w:wordWrap/>
        <w:overflowPunct/>
        <w:topLinePunct w:val="0"/>
        <w:autoSpaceDE/>
        <w:autoSpaceDN/>
        <w:bidi w:val="0"/>
        <w:adjustRightInd w:val="0"/>
        <w:snapToGrid w:val="0"/>
        <w:spacing w:line="400" w:lineRule="exact"/>
        <w:ind w:firstLine="630"/>
        <w:textAlignment w:val="auto"/>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八、本</w:t>
      </w:r>
      <w:r>
        <w:rPr>
          <w:rFonts w:hint="default" w:ascii="Times New Roman" w:hAnsi="Times New Roman" w:cs="Times New Roman" w:eastAsiaTheme="minorEastAsia"/>
          <w:szCs w:val="21"/>
          <w:lang w:val="en-US" w:eastAsia="zh-CN"/>
        </w:rPr>
        <w:t>承诺书</w:t>
      </w:r>
      <w:r>
        <w:rPr>
          <w:rFonts w:hint="default" w:ascii="Times New Roman" w:hAnsi="Times New Roman" w:cs="Times New Roman" w:eastAsiaTheme="minorEastAsia"/>
          <w:szCs w:val="21"/>
        </w:rPr>
        <w:t>一式</w:t>
      </w:r>
      <w:r>
        <w:rPr>
          <w:rFonts w:hint="default" w:ascii="Times New Roman" w:hAnsi="Times New Roman" w:cs="Times New Roman" w:eastAsiaTheme="minorEastAsia"/>
          <w:szCs w:val="21"/>
          <w:lang w:val="en-US" w:eastAsia="zh-CN"/>
        </w:rPr>
        <w:t>6</w:t>
      </w:r>
      <w:r>
        <w:rPr>
          <w:rFonts w:hint="default" w:ascii="Times New Roman" w:hAnsi="Times New Roman" w:cs="Times New Roman" w:eastAsiaTheme="minorEastAsia"/>
          <w:szCs w:val="21"/>
        </w:rPr>
        <w:t>份，甲方执</w:t>
      </w:r>
      <w:r>
        <w:rPr>
          <w:rFonts w:hint="default" w:ascii="Times New Roman" w:hAnsi="Times New Roman" w:cs="Times New Roman" w:eastAsiaTheme="minorEastAsia"/>
          <w:szCs w:val="21"/>
          <w:lang w:val="en-US" w:eastAsia="zh-CN"/>
        </w:rPr>
        <w:t>5</w:t>
      </w:r>
      <w:r>
        <w:rPr>
          <w:rFonts w:hint="default" w:ascii="Times New Roman" w:hAnsi="Times New Roman" w:cs="Times New Roman" w:eastAsiaTheme="minorEastAsia"/>
          <w:szCs w:val="21"/>
        </w:rPr>
        <w:t>份，</w:t>
      </w:r>
      <w:r>
        <w:rPr>
          <w:rFonts w:hint="default" w:ascii="Times New Roman" w:hAnsi="Times New Roman" w:cs="Times New Roman" w:eastAsiaTheme="minorEastAsia"/>
          <w:szCs w:val="21"/>
          <w:lang w:val="en-US" w:eastAsia="zh-CN"/>
        </w:rPr>
        <w:t>乙方执1</w:t>
      </w:r>
      <w:r>
        <w:rPr>
          <w:rFonts w:hint="default" w:ascii="Times New Roman" w:hAnsi="Times New Roman" w:cs="Times New Roman" w:eastAsiaTheme="minorEastAsia"/>
          <w:szCs w:val="21"/>
        </w:rPr>
        <w:t>份。</w:t>
      </w:r>
    </w:p>
    <w:p w14:paraId="76FA54F6">
      <w:pPr>
        <w:keepNext w:val="0"/>
        <w:keepLines w:val="0"/>
        <w:pageBreakBefore w:val="0"/>
        <w:widowControl w:val="0"/>
        <w:kinsoku/>
        <w:wordWrap/>
        <w:overflowPunct/>
        <w:topLinePunct w:val="0"/>
        <w:autoSpaceDE/>
        <w:autoSpaceDN/>
        <w:bidi w:val="0"/>
        <w:adjustRightInd w:val="0"/>
        <w:snapToGrid w:val="0"/>
        <w:spacing w:line="400" w:lineRule="exact"/>
        <w:ind w:firstLine="630"/>
        <w:textAlignment w:val="auto"/>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九、本</w:t>
      </w:r>
      <w:r>
        <w:rPr>
          <w:rFonts w:hint="default" w:ascii="Times New Roman" w:hAnsi="Times New Roman" w:cs="Times New Roman" w:eastAsiaTheme="minorEastAsia"/>
          <w:szCs w:val="21"/>
          <w:lang w:val="en-US" w:eastAsia="zh-CN"/>
        </w:rPr>
        <w:t>承诺书</w:t>
      </w:r>
      <w:r>
        <w:rPr>
          <w:rFonts w:hint="default" w:ascii="Times New Roman" w:hAnsi="Times New Roman" w:cs="Times New Roman" w:eastAsiaTheme="minorEastAsia"/>
          <w:szCs w:val="21"/>
        </w:rPr>
        <w:t>自签订之日起生效。</w:t>
      </w:r>
    </w:p>
    <w:p w14:paraId="3733ECEC">
      <w:pPr>
        <w:keepNext w:val="0"/>
        <w:keepLines w:val="0"/>
        <w:pageBreakBefore w:val="0"/>
        <w:widowControl w:val="0"/>
        <w:kinsoku/>
        <w:wordWrap/>
        <w:overflowPunct/>
        <w:topLinePunct w:val="0"/>
        <w:autoSpaceDE/>
        <w:autoSpaceDN/>
        <w:bidi w:val="0"/>
        <w:adjustRightInd w:val="0"/>
        <w:snapToGrid w:val="0"/>
        <w:spacing w:line="400" w:lineRule="exact"/>
        <w:ind w:firstLine="630"/>
        <w:textAlignment w:val="auto"/>
        <w:rPr>
          <w:rFonts w:hint="default" w:ascii="Times New Roman" w:hAnsi="Times New Roman" w:cs="Times New Roman" w:eastAsiaTheme="minorEastAsia"/>
          <w:szCs w:val="21"/>
        </w:rPr>
      </w:pPr>
    </w:p>
    <w:p w14:paraId="76CEB693">
      <w:pPr>
        <w:keepNext w:val="0"/>
        <w:keepLines w:val="0"/>
        <w:pageBreakBefore w:val="0"/>
        <w:widowControl w:val="0"/>
        <w:kinsoku/>
        <w:wordWrap/>
        <w:overflowPunct/>
        <w:topLinePunct w:val="0"/>
        <w:autoSpaceDE/>
        <w:autoSpaceDN/>
        <w:bidi w:val="0"/>
        <w:adjustRightInd w:val="0"/>
        <w:snapToGrid w:val="0"/>
        <w:spacing w:line="400" w:lineRule="exact"/>
        <w:ind w:firstLine="1260" w:firstLineChars="600"/>
        <w:textAlignment w:val="auto"/>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甲方（盖章）：                         乙方（盖章）：</w:t>
      </w:r>
    </w:p>
    <w:p w14:paraId="451E6B4D">
      <w:pPr>
        <w:keepNext w:val="0"/>
        <w:keepLines w:val="0"/>
        <w:pageBreakBefore w:val="0"/>
        <w:widowControl w:val="0"/>
        <w:kinsoku/>
        <w:wordWrap/>
        <w:overflowPunct/>
        <w:topLinePunct w:val="0"/>
        <w:autoSpaceDE/>
        <w:autoSpaceDN/>
        <w:bidi w:val="0"/>
        <w:adjustRightInd w:val="0"/>
        <w:snapToGrid w:val="0"/>
        <w:spacing w:line="400" w:lineRule="exact"/>
        <w:ind w:firstLine="1260" w:firstLineChars="600"/>
        <w:textAlignment w:val="auto"/>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 xml:space="preserve">                   </w:t>
      </w:r>
    </w:p>
    <w:p w14:paraId="7F426D50">
      <w:pPr>
        <w:keepNext w:val="0"/>
        <w:keepLines w:val="0"/>
        <w:pageBreakBefore w:val="0"/>
        <w:widowControl w:val="0"/>
        <w:kinsoku/>
        <w:wordWrap/>
        <w:overflowPunct/>
        <w:topLinePunct w:val="0"/>
        <w:autoSpaceDE/>
        <w:autoSpaceDN/>
        <w:bidi w:val="0"/>
        <w:adjustRightInd w:val="0"/>
        <w:snapToGrid w:val="0"/>
        <w:spacing w:line="400" w:lineRule="exact"/>
        <w:ind w:firstLine="1260" w:firstLineChars="600"/>
        <w:textAlignment w:val="auto"/>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负责人：</w:t>
      </w:r>
      <w:r>
        <w:rPr>
          <w:rFonts w:hint="default" w:ascii="Times New Roman" w:hAnsi="Times New Roman" w:cs="Times New Roman" w:eastAsiaTheme="minorEastAsia"/>
          <w:szCs w:val="21"/>
          <w:lang w:val="en-US" w:eastAsia="zh-CN"/>
        </w:rPr>
        <w:t xml:space="preserve">    </w:t>
      </w:r>
      <w:r>
        <w:rPr>
          <w:rFonts w:hint="default" w:ascii="Times New Roman" w:hAnsi="Times New Roman" w:cs="Times New Roman" w:eastAsiaTheme="minorEastAsia"/>
          <w:szCs w:val="21"/>
        </w:rPr>
        <w:t xml:space="preserve">                          负责人：</w:t>
      </w:r>
    </w:p>
    <w:p w14:paraId="17AE2CBB">
      <w:pPr>
        <w:keepNext w:val="0"/>
        <w:keepLines w:val="0"/>
        <w:pageBreakBefore w:val="0"/>
        <w:widowControl w:val="0"/>
        <w:kinsoku/>
        <w:wordWrap/>
        <w:overflowPunct/>
        <w:topLinePunct w:val="0"/>
        <w:autoSpaceDE/>
        <w:autoSpaceDN/>
        <w:bidi w:val="0"/>
        <w:adjustRightInd w:val="0"/>
        <w:snapToGrid w:val="0"/>
        <w:spacing w:line="400" w:lineRule="exact"/>
        <w:ind w:firstLine="1260" w:firstLineChars="600"/>
        <w:textAlignment w:val="auto"/>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 xml:space="preserve">            </w:t>
      </w:r>
      <w:r>
        <w:rPr>
          <w:rFonts w:hint="default" w:ascii="Times New Roman" w:hAnsi="Times New Roman" w:cs="Times New Roman" w:eastAsiaTheme="minorEastAsia"/>
          <w:szCs w:val="21"/>
          <w:lang w:val="en-US" w:eastAsia="zh-CN"/>
        </w:rPr>
        <w:t xml:space="preserve"> </w:t>
      </w:r>
      <w:r>
        <w:rPr>
          <w:rFonts w:hint="default" w:ascii="Times New Roman" w:hAnsi="Times New Roman" w:cs="Times New Roman" w:eastAsiaTheme="minorEastAsia"/>
          <w:szCs w:val="21"/>
        </w:rPr>
        <w:t xml:space="preserve">          </w:t>
      </w:r>
    </w:p>
    <w:p w14:paraId="40E4074D">
      <w:pPr>
        <w:keepNext w:val="0"/>
        <w:keepLines w:val="0"/>
        <w:pageBreakBefore w:val="0"/>
        <w:widowControl w:val="0"/>
        <w:kinsoku/>
        <w:wordWrap/>
        <w:overflowPunct/>
        <w:topLinePunct w:val="0"/>
        <w:autoSpaceDE/>
        <w:autoSpaceDN/>
        <w:bidi w:val="0"/>
        <w:adjustRightInd w:val="0"/>
        <w:snapToGrid w:val="0"/>
        <w:spacing w:line="400" w:lineRule="exact"/>
        <w:ind w:firstLine="1260" w:firstLineChars="600"/>
        <w:textAlignment w:val="auto"/>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 xml:space="preserve">经办人：     </w:t>
      </w:r>
      <w:r>
        <w:rPr>
          <w:rFonts w:hint="default" w:ascii="Times New Roman" w:hAnsi="Times New Roman" w:cs="Times New Roman" w:eastAsiaTheme="minorEastAsia"/>
          <w:szCs w:val="21"/>
          <w:lang w:val="en-US" w:eastAsia="zh-CN"/>
        </w:rPr>
        <w:t xml:space="preserve">    </w:t>
      </w:r>
      <w:r>
        <w:rPr>
          <w:rFonts w:hint="default" w:ascii="Times New Roman" w:hAnsi="Times New Roman" w:cs="Times New Roman" w:eastAsiaTheme="minorEastAsia"/>
          <w:szCs w:val="21"/>
        </w:rPr>
        <w:t xml:space="preserve">                     经办人：</w:t>
      </w:r>
    </w:p>
    <w:p w14:paraId="6931329B">
      <w:pPr>
        <w:keepNext w:val="0"/>
        <w:keepLines w:val="0"/>
        <w:pageBreakBefore w:val="0"/>
        <w:widowControl w:val="0"/>
        <w:kinsoku/>
        <w:wordWrap/>
        <w:overflowPunct/>
        <w:topLinePunct w:val="0"/>
        <w:autoSpaceDE/>
        <w:autoSpaceDN/>
        <w:bidi w:val="0"/>
        <w:adjustRightInd w:val="0"/>
        <w:snapToGrid w:val="0"/>
        <w:spacing w:line="400" w:lineRule="exact"/>
        <w:ind w:firstLine="1785" w:firstLineChars="850"/>
        <w:textAlignment w:val="auto"/>
        <w:rPr>
          <w:rFonts w:hint="default" w:ascii="Times New Roman" w:hAnsi="Times New Roman" w:cs="Times New Roman"/>
        </w:rPr>
      </w:pPr>
      <w:r>
        <w:rPr>
          <w:rFonts w:hint="default" w:ascii="Times New Roman" w:hAnsi="Times New Roman" w:cs="Times New Roman" w:eastAsiaTheme="minorEastAsia"/>
          <w:szCs w:val="21"/>
        </w:rPr>
        <w:t xml:space="preserve">  年   月   日                         年   月   日</w:t>
      </w:r>
    </w:p>
    <w:p w14:paraId="004807B5">
      <w:pPr>
        <w:pageBreakBefore w:val="0"/>
        <w:kinsoku/>
        <w:wordWrap/>
        <w:overflowPunct/>
        <w:topLinePunct w:val="0"/>
        <w:autoSpaceDE/>
        <w:autoSpaceDN/>
        <w:bidi w:val="0"/>
        <w:spacing w:line="400" w:lineRule="exact"/>
        <w:textAlignment w:val="auto"/>
        <w:rPr>
          <w:rFonts w:hint="default" w:ascii="Times New Roman" w:hAnsi="Times New Roman" w:cs="Times New Roman"/>
        </w:rPr>
      </w:pPr>
    </w:p>
    <w:p w14:paraId="6B3D85BE">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BB0A79"/>
    <w:rsid w:val="07BB0A79"/>
    <w:rsid w:val="6CBD35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1"/>
      <w:szCs w:val="22"/>
      <w:lang w:val="en-US" w:eastAsia="zh-CN" w:bidi="ar-SA"/>
    </w:rPr>
  </w:style>
  <w:style w:type="paragraph" w:styleId="5">
    <w:name w:val="heading 3"/>
    <w:next w:val="1"/>
    <w:semiHidden/>
    <w:unhideWhenUsed/>
    <w:qFormat/>
    <w:uiPriority w:val="0"/>
    <w:pPr>
      <w:widowControl w:val="0"/>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0">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2">
    <w:name w:val="Body Text"/>
    <w:next w:val="3"/>
    <w:unhideWhenUsed/>
    <w:qFormat/>
    <w:uiPriority w:val="99"/>
    <w:pPr>
      <w:widowControl w:val="0"/>
      <w:spacing w:after="120"/>
      <w:jc w:val="both"/>
    </w:pPr>
    <w:rPr>
      <w:rFonts w:ascii="等线" w:hAnsi="等线" w:eastAsia="等线" w:cs="Times New Roman"/>
      <w:kern w:val="2"/>
      <w:sz w:val="21"/>
      <w:szCs w:val="22"/>
      <w:lang w:val="en-US" w:eastAsia="zh-CN" w:bidi="ar-SA"/>
    </w:rPr>
  </w:style>
  <w:style w:type="paragraph" w:styleId="3">
    <w:name w:val="Body Text First Indent"/>
    <w:next w:val="4"/>
    <w:unhideWhenUsed/>
    <w:qFormat/>
    <w:uiPriority w:val="99"/>
    <w:pPr>
      <w:widowControl w:val="0"/>
      <w:spacing w:after="120"/>
      <w:ind w:firstLine="420" w:firstLineChars="100"/>
      <w:jc w:val="both"/>
    </w:pPr>
    <w:rPr>
      <w:rFonts w:ascii="等线" w:hAnsi="等线" w:eastAsia="等线" w:cs="Times New Roman"/>
      <w:kern w:val="2"/>
      <w:sz w:val="21"/>
      <w:szCs w:val="22"/>
      <w:lang w:val="en-US" w:eastAsia="zh-CN" w:bidi="ar-SA"/>
    </w:rPr>
  </w:style>
  <w:style w:type="paragraph" w:customStyle="1" w:styleId="4">
    <w:name w:val="样式 正文首行缩进 + 首行缩进:  1 字符"/>
    <w:next w:val="1"/>
    <w:qFormat/>
    <w:uiPriority w:val="0"/>
    <w:pPr>
      <w:widowControl w:val="0"/>
      <w:spacing w:line="360" w:lineRule="auto"/>
      <w:ind w:firstLine="200" w:firstLineChars="200"/>
      <w:jc w:val="both"/>
    </w:pPr>
    <w:rPr>
      <w:rFonts w:ascii="等线" w:hAnsi="等线" w:eastAsia="等线" w:cs="宋体"/>
      <w:kern w:val="2"/>
      <w:sz w:val="24"/>
      <w:szCs w:val="20"/>
      <w:lang w:val="en-US" w:eastAsia="zh-CN" w:bidi="ar-SA"/>
    </w:rPr>
  </w:style>
  <w:style w:type="paragraph" w:styleId="6">
    <w:name w:val="Normal Indent"/>
    <w:basedOn w:val="1"/>
    <w:qFormat/>
    <w:uiPriority w:val="0"/>
    <w:pPr>
      <w:ind w:firstLine="420"/>
    </w:pPr>
    <w:rPr>
      <w:szCs w:val="20"/>
    </w:rPr>
  </w:style>
  <w:style w:type="paragraph" w:styleId="7">
    <w:name w:val="footer"/>
    <w:qFormat/>
    <w:uiPriority w:val="99"/>
    <w:pPr>
      <w:widowControl w:val="0"/>
      <w:tabs>
        <w:tab w:val="center" w:pos="4153"/>
        <w:tab w:val="right" w:pos="8306"/>
      </w:tabs>
      <w:snapToGrid w:val="0"/>
      <w:jc w:val="left"/>
    </w:pPr>
    <w:rPr>
      <w:rFonts w:asciiTheme="minorHAnsi" w:hAnsiTheme="minorHAnsi" w:eastAsiaTheme="minorEastAsia" w:cstheme="minorBidi"/>
      <w:kern w:val="2"/>
      <w:sz w:val="18"/>
      <w:szCs w:val="18"/>
      <w:lang w:val="en-US" w:eastAsia="zh-CN" w:bidi="ar-SA"/>
    </w:rPr>
  </w:style>
  <w:style w:type="table" w:styleId="9">
    <w:name w:val="Table Grid"/>
    <w:basedOn w:val="8"/>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1">
    <w:name w:val="List Paragraph"/>
    <w:basedOn w:val="1"/>
    <w:qFormat/>
    <w:uiPriority w:val="34"/>
    <w:pPr>
      <w:ind w:firstLine="420" w:firstLineChars="200"/>
    </w:pPr>
  </w:style>
  <w:style w:type="paragraph" w:customStyle="1" w:styleId="12">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2026-05-29T09:23:00Z</dcterms:created>
  <dc:creator>卑微小虎崽</dc:creator>
  <cp:lastModifiedBy>卑微小虎崽</cp:lastModifiedBy>
  <dcterms:modified xsi:type="dcterms:W3CDTF">2026-05-29T09:24:39Z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916AC3296E1E4CF7BB188168486A2C51_13</vt:lpwstr>
  </property>
  <property fmtid="{D5CDD505-2E9C-101B-9397-08002B2CF9AE}" pid="4" name="KSOTemplateDocerSaveRecord">
    <vt:lpwstr>eyJoZGlkIjoiYzZkNzQ4ZWFiZmQ4NTRhOWRkZTk3YTMwMjlmMmZhYmUiLCJ1c2VySWQiOiIxMzQ0MTYwMDk1In0=</vt:lpwstr>
  </property>
</Properties>
</file>