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8B4A">
      <w:pPr>
        <w:keepNext w:val="0"/>
        <w:keepLines w:val="0"/>
        <w:pageBreakBefore w:val="0"/>
        <w:kinsoku/>
        <w:wordWrap/>
        <w:overflowPunct/>
        <w:topLinePunct w:val="0"/>
        <w:bidi w:val="0"/>
        <w:spacing w:line="576" w:lineRule="exact"/>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p>
    <w:tbl>
      <w:tblPr>
        <w:tblStyle w:val="6"/>
        <w:tblW w:w="6077" w:type="pct"/>
        <w:tblInd w:w="-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192"/>
        <w:gridCol w:w="6465"/>
        <w:gridCol w:w="1038"/>
      </w:tblGrid>
      <w:tr w14:paraId="18C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20" w:type="pct"/>
            <w:noWrap w:val="0"/>
            <w:vAlign w:val="center"/>
          </w:tcPr>
          <w:p w14:paraId="6C55F31E">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序号</w:t>
            </w:r>
          </w:p>
        </w:tc>
        <w:tc>
          <w:tcPr>
            <w:tcW w:w="1058" w:type="pct"/>
            <w:noWrap w:val="0"/>
            <w:vAlign w:val="center"/>
          </w:tcPr>
          <w:p w14:paraId="497D121F">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评审因素</w:t>
            </w:r>
          </w:p>
        </w:tc>
        <w:tc>
          <w:tcPr>
            <w:tcW w:w="3120" w:type="pct"/>
            <w:noWrap w:val="0"/>
            <w:vAlign w:val="center"/>
          </w:tcPr>
          <w:p w14:paraId="3C3652D0">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评分细则</w:t>
            </w:r>
          </w:p>
        </w:tc>
        <w:tc>
          <w:tcPr>
            <w:tcW w:w="501" w:type="pct"/>
            <w:noWrap w:val="0"/>
            <w:vAlign w:val="center"/>
          </w:tcPr>
          <w:p w14:paraId="1AB051D0">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分值</w:t>
            </w:r>
          </w:p>
          <w:p w14:paraId="425713BA">
            <w:pPr>
              <w:snapToGrid w:val="0"/>
              <w:spacing w:line="360" w:lineRule="auto"/>
              <w:ind w:left="-78" w:leftChars="-37" w:right="-73" w:rightChars="-35"/>
              <w:jc w:val="center"/>
              <w:rPr>
                <w:rFonts w:hint="eastAsia" w:ascii="宋体" w:hAnsi="宋体" w:eastAsia="宋体" w:cs="宋体"/>
                <w:b/>
                <w:sz w:val="24"/>
              </w:rPr>
            </w:pPr>
            <w:r>
              <w:rPr>
                <w:rFonts w:hint="eastAsia" w:ascii="宋体" w:hAnsi="宋体" w:eastAsia="宋体" w:cs="宋体"/>
                <w:b/>
                <w:sz w:val="24"/>
              </w:rPr>
              <w:t>（分）</w:t>
            </w:r>
          </w:p>
        </w:tc>
      </w:tr>
      <w:tr w14:paraId="1DBE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20" w:type="pct"/>
            <w:noWrap w:val="0"/>
            <w:vAlign w:val="center"/>
          </w:tcPr>
          <w:p w14:paraId="6D455C3A">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一</w:t>
            </w:r>
          </w:p>
        </w:tc>
        <w:tc>
          <w:tcPr>
            <w:tcW w:w="4679" w:type="pct"/>
            <w:gridSpan w:val="3"/>
            <w:noWrap w:val="0"/>
            <w:vAlign w:val="center"/>
          </w:tcPr>
          <w:p w14:paraId="1E894521">
            <w:pPr>
              <w:snapToGrid w:val="0"/>
              <w:spacing w:line="240" w:lineRule="auto"/>
              <w:ind w:left="0" w:leftChars="0" w:right="0" w:rightChars="0"/>
              <w:jc w:val="center"/>
              <w:rPr>
                <w:rFonts w:hint="eastAsia" w:ascii="宋体" w:hAnsi="宋体" w:eastAsia="宋体" w:cs="宋体"/>
                <w:b/>
                <w:sz w:val="24"/>
              </w:rPr>
            </w:pPr>
            <w:r>
              <w:rPr>
                <w:rFonts w:hint="eastAsia" w:ascii="宋体" w:hAnsi="宋体" w:eastAsia="宋体" w:cs="宋体"/>
                <w:b/>
                <w:sz w:val="24"/>
              </w:rPr>
              <w:t>技术部分（合计55分）</w:t>
            </w:r>
          </w:p>
        </w:tc>
      </w:tr>
      <w:tr w14:paraId="20BF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320" w:type="pct"/>
            <w:noWrap w:val="0"/>
            <w:vAlign w:val="center"/>
          </w:tcPr>
          <w:p w14:paraId="20D173C5">
            <w:pPr>
              <w:pStyle w:val="8"/>
              <w:numPr>
                <w:ilvl w:val="0"/>
                <w:numId w:val="0"/>
              </w:numPr>
              <w:autoSpaceDE/>
              <w:autoSpaceDN/>
              <w:snapToGrid w:val="0"/>
              <w:spacing w:line="360" w:lineRule="auto"/>
              <w:ind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69A95F11">
            <w:pPr>
              <w:widowControl/>
              <w:spacing w:line="360" w:lineRule="auto"/>
              <w:rPr>
                <w:rFonts w:hint="eastAsia" w:ascii="宋体" w:hAnsi="宋体" w:eastAsia="宋体" w:cs="宋体"/>
                <w:sz w:val="24"/>
              </w:rPr>
            </w:pPr>
            <w:r>
              <w:rPr>
                <w:rFonts w:hint="eastAsia" w:ascii="宋体" w:hAnsi="宋体" w:eastAsia="宋体" w:cs="宋体"/>
                <w:sz w:val="24"/>
              </w:rPr>
              <w:t>所响应产品对用户需求书中带▲号的重要技术参数的符合性</w:t>
            </w:r>
          </w:p>
        </w:tc>
        <w:tc>
          <w:tcPr>
            <w:tcW w:w="3120" w:type="pct"/>
            <w:noWrap w:val="0"/>
            <w:vAlign w:val="center"/>
          </w:tcPr>
          <w:p w14:paraId="6E2D9975">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每满足一项用户需求书中带“▲”号的</w:t>
            </w:r>
            <w:r>
              <w:rPr>
                <w:rFonts w:hint="eastAsia" w:ascii="宋体" w:hAnsi="宋体" w:eastAsia="宋体" w:cs="宋体"/>
                <w:sz w:val="24"/>
              </w:rPr>
              <w:t>重要技术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6</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4</w:t>
            </w:r>
            <w:r>
              <w:rPr>
                <w:rFonts w:hint="eastAsia" w:ascii="宋体" w:hAnsi="宋体" w:eastAsia="宋体" w:cs="宋体"/>
                <w:sz w:val="24"/>
              </w:rPr>
              <w:t>分，合计</w:t>
            </w:r>
            <w:r>
              <w:rPr>
                <w:rFonts w:hint="eastAsia" w:ascii="宋体" w:hAnsi="宋体" w:eastAsia="宋体" w:cs="宋体"/>
                <w:sz w:val="24"/>
                <w:lang w:val="en-US" w:eastAsia="zh-CN"/>
              </w:rPr>
              <w:t>24</w:t>
            </w:r>
            <w:r>
              <w:rPr>
                <w:rFonts w:hint="eastAsia" w:ascii="宋体" w:hAnsi="宋体" w:eastAsia="宋体" w:cs="宋体"/>
                <w:sz w:val="24"/>
              </w:rPr>
              <w:t>分；</w:t>
            </w:r>
          </w:p>
          <w:p w14:paraId="7EFAAA2E">
            <w:pPr>
              <w:pStyle w:val="5"/>
              <w:spacing w:line="360" w:lineRule="auto"/>
              <w:ind w:firstLine="0"/>
              <w:rPr>
                <w:rFonts w:hint="eastAsia" w:ascii="宋体" w:hAnsi="宋体" w:eastAsia="宋体" w:cs="宋体"/>
                <w:sz w:val="24"/>
              </w:rPr>
            </w:pPr>
            <w:r>
              <w:rPr>
                <w:rFonts w:hint="eastAsia" w:ascii="宋体" w:hAnsi="宋体" w:eastAsia="宋体" w:cs="宋体"/>
                <w:sz w:val="24"/>
              </w:rPr>
              <w:t>如技术要求及参数中有明确要求证明材料的，以技术要求及参数中要求的证明材料为准，如果技术要求及参数中没有明确要求证明材料的，则提供响应产品彩页或相应技术参数的厂家使用说明书作为技术证明文件，否则评审委员会有权视相应技术参数响应不符合要求。</w:t>
            </w:r>
          </w:p>
        </w:tc>
        <w:tc>
          <w:tcPr>
            <w:tcW w:w="501" w:type="pct"/>
            <w:noWrap w:val="0"/>
            <w:vAlign w:val="center"/>
          </w:tcPr>
          <w:p w14:paraId="0CFE7F21">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24</w:t>
            </w:r>
          </w:p>
        </w:tc>
      </w:tr>
      <w:tr w14:paraId="2020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320" w:type="pct"/>
            <w:noWrap w:val="0"/>
            <w:vAlign w:val="center"/>
          </w:tcPr>
          <w:p w14:paraId="528344ED">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34BC6B3D">
            <w:pPr>
              <w:widowControl/>
              <w:spacing w:line="360" w:lineRule="auto"/>
              <w:rPr>
                <w:rFonts w:hint="eastAsia" w:ascii="宋体" w:hAnsi="宋体" w:eastAsia="宋体" w:cs="宋体"/>
                <w:bCs/>
                <w:sz w:val="24"/>
              </w:rPr>
            </w:pPr>
            <w:r>
              <w:rPr>
                <w:rFonts w:hint="eastAsia" w:ascii="宋体" w:hAnsi="宋体" w:eastAsia="宋体" w:cs="宋体"/>
                <w:sz w:val="24"/>
              </w:rPr>
              <w:t>所响应货物技术参数及性能与技术规格要求的符合性</w:t>
            </w:r>
          </w:p>
        </w:tc>
        <w:tc>
          <w:tcPr>
            <w:tcW w:w="3120" w:type="pct"/>
            <w:noWrap w:val="0"/>
            <w:vAlign w:val="center"/>
          </w:tcPr>
          <w:p w14:paraId="6A3FC966">
            <w:pPr>
              <w:pStyle w:val="5"/>
              <w:spacing w:line="360" w:lineRule="auto"/>
              <w:ind w:firstLine="0"/>
              <w:rPr>
                <w:rFonts w:hint="eastAsia" w:ascii="宋体" w:hAnsi="宋体" w:eastAsia="宋体" w:cs="宋体"/>
                <w:sz w:val="24"/>
              </w:rPr>
            </w:pPr>
            <w:r>
              <w:rPr>
                <w:rFonts w:hint="eastAsia" w:ascii="宋体" w:hAnsi="宋体" w:eastAsia="宋体" w:cs="宋体"/>
                <w:kern w:val="2"/>
                <w:sz w:val="24"/>
              </w:rPr>
              <w:t>供应商</w:t>
            </w:r>
            <w:r>
              <w:rPr>
                <w:rFonts w:hint="eastAsia" w:ascii="宋体" w:hAnsi="宋体" w:eastAsia="宋体" w:cs="宋体"/>
                <w:sz w:val="24"/>
              </w:rPr>
              <w:t>所响应产品</w:t>
            </w:r>
            <w:r>
              <w:rPr>
                <w:rFonts w:hint="eastAsia" w:ascii="宋体" w:hAnsi="宋体" w:eastAsia="宋体" w:cs="宋体"/>
                <w:kern w:val="2"/>
                <w:sz w:val="24"/>
              </w:rPr>
              <w:t>每满足一项用户需求书</w:t>
            </w:r>
            <w:r>
              <w:rPr>
                <w:rFonts w:hint="eastAsia" w:ascii="宋体" w:hAnsi="宋体" w:eastAsia="宋体" w:cs="宋体"/>
                <w:b/>
                <w:sz w:val="24"/>
              </w:rPr>
              <w:t>“技术要求及参数”</w:t>
            </w:r>
            <w:r>
              <w:rPr>
                <w:rFonts w:hint="eastAsia" w:ascii="宋体" w:hAnsi="宋体" w:eastAsia="宋体" w:cs="宋体"/>
                <w:kern w:val="2"/>
                <w:sz w:val="24"/>
              </w:rPr>
              <w:t>中不带“▲”号的</w:t>
            </w:r>
            <w:r>
              <w:rPr>
                <w:rFonts w:hint="eastAsia" w:ascii="宋体" w:hAnsi="宋体" w:eastAsia="宋体" w:cs="宋体"/>
                <w:sz w:val="24"/>
              </w:rPr>
              <w:t>技术</w:t>
            </w:r>
            <w:r>
              <w:rPr>
                <w:rFonts w:hint="eastAsia" w:ascii="宋体" w:hAnsi="宋体" w:eastAsia="宋体" w:cs="宋体"/>
                <w:kern w:val="2"/>
                <w:sz w:val="24"/>
              </w:rPr>
              <w:t>要求（共</w:t>
            </w:r>
            <w:r>
              <w:rPr>
                <w:rFonts w:hint="eastAsia" w:ascii="宋体" w:hAnsi="宋体" w:eastAsia="宋体" w:cs="宋体"/>
                <w:kern w:val="2"/>
                <w:sz w:val="24"/>
                <w:lang w:val="en-US" w:eastAsia="zh-CN"/>
              </w:rPr>
              <w:t>13</w:t>
            </w:r>
            <w:r>
              <w:rPr>
                <w:rFonts w:hint="eastAsia" w:ascii="宋体" w:hAnsi="宋体" w:eastAsia="宋体" w:cs="宋体"/>
                <w:kern w:val="2"/>
                <w:sz w:val="24"/>
              </w:rPr>
              <w:t>项），</w:t>
            </w:r>
            <w:r>
              <w:rPr>
                <w:rFonts w:hint="eastAsia" w:ascii="宋体" w:hAnsi="宋体" w:eastAsia="宋体" w:cs="宋体"/>
                <w:sz w:val="24"/>
              </w:rPr>
              <w:t>得</w:t>
            </w:r>
            <w:r>
              <w:rPr>
                <w:rFonts w:hint="eastAsia" w:ascii="宋体" w:hAnsi="宋体" w:eastAsia="宋体" w:cs="宋体"/>
                <w:sz w:val="24"/>
                <w:lang w:val="en-US" w:eastAsia="zh-CN"/>
              </w:rPr>
              <w:t>1</w:t>
            </w:r>
            <w:r>
              <w:rPr>
                <w:rFonts w:hint="eastAsia" w:ascii="宋体" w:hAnsi="宋体" w:eastAsia="宋体" w:cs="宋体"/>
                <w:sz w:val="24"/>
              </w:rPr>
              <w:t>分，合计</w:t>
            </w:r>
            <w:r>
              <w:rPr>
                <w:rFonts w:hint="eastAsia" w:ascii="宋体" w:hAnsi="宋体" w:eastAsia="宋体" w:cs="宋体"/>
                <w:sz w:val="24"/>
                <w:lang w:val="en-US" w:eastAsia="zh-CN"/>
              </w:rPr>
              <w:t>13</w:t>
            </w:r>
            <w:r>
              <w:rPr>
                <w:rFonts w:hint="eastAsia" w:ascii="宋体" w:hAnsi="宋体" w:eastAsia="宋体" w:cs="宋体"/>
                <w:sz w:val="24"/>
              </w:rPr>
              <w:t>分；</w:t>
            </w:r>
          </w:p>
        </w:tc>
        <w:tc>
          <w:tcPr>
            <w:tcW w:w="501" w:type="pct"/>
            <w:noWrap w:val="0"/>
            <w:vAlign w:val="center"/>
          </w:tcPr>
          <w:p w14:paraId="389452B4">
            <w:pPr>
              <w:pStyle w:val="5"/>
              <w:spacing w:line="360" w:lineRule="auto"/>
              <w:ind w:firstLine="0"/>
              <w:jc w:val="center"/>
              <w:rPr>
                <w:rFonts w:hint="eastAsia" w:ascii="宋体" w:hAnsi="宋体" w:eastAsia="宋体" w:cs="宋体"/>
                <w:sz w:val="24"/>
                <w:lang w:val="en-US" w:eastAsia="zh-CN"/>
              </w:rPr>
            </w:pPr>
            <w:r>
              <w:rPr>
                <w:rFonts w:hint="eastAsia" w:ascii="宋体" w:hAnsi="宋体" w:eastAsia="宋体" w:cs="宋体"/>
                <w:sz w:val="24"/>
                <w:lang w:val="en-US" w:eastAsia="zh-CN"/>
              </w:rPr>
              <w:t>13</w:t>
            </w:r>
          </w:p>
        </w:tc>
      </w:tr>
      <w:tr w14:paraId="505B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320" w:type="pct"/>
            <w:noWrap w:val="0"/>
            <w:vAlign w:val="center"/>
          </w:tcPr>
          <w:p w14:paraId="24FE2F85">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2C736DEC">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质量管理及保障措施方案</w:t>
            </w:r>
          </w:p>
        </w:tc>
        <w:tc>
          <w:tcPr>
            <w:tcW w:w="3120" w:type="pct"/>
            <w:noWrap w:val="0"/>
            <w:vAlign w:val="center"/>
          </w:tcPr>
          <w:p w14:paraId="2641C1D6">
            <w:pPr>
              <w:pStyle w:val="5"/>
              <w:spacing w:line="240" w:lineRule="auto"/>
              <w:ind w:firstLine="0"/>
              <w:rPr>
                <w:rFonts w:hint="eastAsia" w:ascii="宋体" w:hAnsi="宋体" w:eastAsia="宋体" w:cs="宋体"/>
                <w:sz w:val="24"/>
              </w:rPr>
            </w:pPr>
            <w:r>
              <w:rPr>
                <w:rFonts w:hint="eastAsia" w:ascii="宋体" w:hAnsi="宋体" w:eastAsia="宋体" w:cs="宋体"/>
                <w:sz w:val="24"/>
                <w:szCs w:val="24"/>
              </w:rPr>
              <w:t>根据投标人所投产品的质量保证措施（包括但不限于货物生产、质检、出厂、运输、交货等环节）进行评分</w:t>
            </w:r>
            <w:r>
              <w:rPr>
                <w:rFonts w:hint="eastAsia" w:ascii="宋体" w:hAnsi="宋体" w:eastAsia="宋体" w:cs="宋体"/>
                <w:sz w:val="24"/>
                <w:szCs w:val="24"/>
                <w:lang w:eastAsia="zh-CN"/>
              </w:rPr>
              <w:t>：</w:t>
            </w:r>
            <w:r>
              <w:rPr>
                <w:rFonts w:hint="eastAsia" w:ascii="宋体" w:hAnsi="宋体" w:eastAsia="宋体" w:cs="宋体"/>
                <w:sz w:val="24"/>
                <w:szCs w:val="24"/>
              </w:rPr>
              <w:t>投标人提供的质量保证，完全满足且优于采购需求的，得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w:t>
            </w:r>
            <w:r>
              <w:rPr>
                <w:rFonts w:hint="eastAsia" w:ascii="宋体" w:hAnsi="宋体" w:eastAsia="宋体" w:cs="宋体"/>
                <w:sz w:val="24"/>
                <w:szCs w:val="24"/>
                <w:lang w:val="en-US" w:eastAsia="zh-CN"/>
              </w:rPr>
              <w:t>3</w:t>
            </w:r>
            <w:r>
              <w:rPr>
                <w:rFonts w:hint="eastAsia" w:ascii="宋体" w:hAnsi="宋体" w:eastAsia="宋体" w:cs="宋体"/>
                <w:sz w:val="24"/>
                <w:szCs w:val="24"/>
              </w:rPr>
              <w:t>分；不完全满足采购需求的，得1分；其他或不提供的，得0分。</w:t>
            </w:r>
          </w:p>
        </w:tc>
        <w:tc>
          <w:tcPr>
            <w:tcW w:w="501" w:type="pct"/>
            <w:noWrap w:val="0"/>
            <w:vAlign w:val="center"/>
          </w:tcPr>
          <w:p w14:paraId="254C94ED">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1F84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320" w:type="pct"/>
            <w:noWrap w:val="0"/>
            <w:vAlign w:val="center"/>
          </w:tcPr>
          <w:p w14:paraId="3253F30D">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1058" w:type="pct"/>
            <w:noWrap w:val="0"/>
            <w:vAlign w:val="center"/>
          </w:tcPr>
          <w:p w14:paraId="7EDF2FF4">
            <w:pPr>
              <w:widowControl/>
              <w:spacing w:line="360" w:lineRule="auto"/>
              <w:jc w:val="center"/>
              <w:rPr>
                <w:rFonts w:hint="eastAsia" w:ascii="宋体" w:hAnsi="宋体" w:eastAsia="宋体" w:cs="宋体"/>
                <w:bCs/>
                <w:sz w:val="24"/>
              </w:rPr>
            </w:pPr>
            <w:r>
              <w:rPr>
                <w:rFonts w:hint="eastAsia" w:ascii="宋体" w:hAnsi="宋体" w:eastAsia="宋体" w:cs="宋体"/>
                <w:sz w:val="24"/>
                <w:szCs w:val="24"/>
              </w:rPr>
              <w:t>培训方案</w:t>
            </w:r>
          </w:p>
        </w:tc>
        <w:tc>
          <w:tcPr>
            <w:tcW w:w="3120" w:type="pct"/>
            <w:noWrap w:val="0"/>
            <w:vAlign w:val="center"/>
          </w:tcPr>
          <w:p w14:paraId="54439A05">
            <w:pPr>
              <w:spacing w:line="288" w:lineRule="auto"/>
              <w:rPr>
                <w:rFonts w:hint="eastAsia" w:ascii="宋体" w:hAnsi="宋体" w:eastAsia="宋体" w:cs="宋体"/>
                <w:sz w:val="24"/>
              </w:rPr>
            </w:pPr>
            <w:r>
              <w:rPr>
                <w:rFonts w:hint="eastAsia" w:ascii="宋体" w:hAnsi="宋体" w:eastAsia="宋体" w:cs="宋体"/>
                <w:sz w:val="24"/>
                <w:szCs w:val="24"/>
              </w:rPr>
              <w:t>根据投标人所投产品的</w:t>
            </w:r>
            <w:r>
              <w:rPr>
                <w:rFonts w:hint="eastAsia" w:ascii="宋体" w:hAnsi="宋体" w:eastAsia="宋体" w:cs="宋体"/>
                <w:sz w:val="24"/>
                <w:szCs w:val="24"/>
                <w:lang w:val="en-US" w:eastAsia="zh-CN"/>
              </w:rPr>
              <w:t>培训措施</w:t>
            </w:r>
            <w:r>
              <w:rPr>
                <w:rFonts w:hint="eastAsia" w:ascii="宋体" w:hAnsi="宋体" w:eastAsia="宋体" w:cs="宋体"/>
                <w:sz w:val="24"/>
                <w:szCs w:val="24"/>
              </w:rPr>
              <w:t>，培训方案，完全满足且优于采购需求的，得</w:t>
            </w:r>
            <w:r>
              <w:rPr>
                <w:rFonts w:hint="eastAsia" w:ascii="宋体" w:hAnsi="宋体" w:eastAsia="宋体" w:cs="宋体"/>
                <w:sz w:val="24"/>
                <w:szCs w:val="24"/>
                <w:lang w:val="en-US" w:eastAsia="zh-CN"/>
              </w:rPr>
              <w:t>6</w:t>
            </w:r>
            <w:r>
              <w:rPr>
                <w:rFonts w:hint="eastAsia" w:ascii="宋体" w:hAnsi="宋体" w:eastAsia="宋体" w:cs="宋体"/>
                <w:sz w:val="24"/>
                <w:szCs w:val="24"/>
              </w:rPr>
              <w:t>分；完全满足采购需求的，得3分；不完全满足采购需求的，得1分；其他或不提供的，得0分。</w:t>
            </w:r>
          </w:p>
        </w:tc>
        <w:tc>
          <w:tcPr>
            <w:tcW w:w="501" w:type="pct"/>
            <w:noWrap w:val="0"/>
            <w:vAlign w:val="center"/>
          </w:tcPr>
          <w:p w14:paraId="280E40DB">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248E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20" w:type="pct"/>
            <w:noWrap w:val="0"/>
            <w:vAlign w:val="center"/>
          </w:tcPr>
          <w:p w14:paraId="711C9BF8">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1058" w:type="pct"/>
            <w:noWrap w:val="0"/>
            <w:vAlign w:val="center"/>
          </w:tcPr>
          <w:p w14:paraId="736F6625">
            <w:pPr>
              <w:widowControl/>
              <w:spacing w:line="360" w:lineRule="auto"/>
              <w:rPr>
                <w:rFonts w:hint="eastAsia" w:ascii="宋体" w:hAnsi="宋体" w:eastAsia="宋体" w:cs="宋体"/>
                <w:sz w:val="24"/>
              </w:rPr>
            </w:pPr>
            <w:r>
              <w:rPr>
                <w:rFonts w:hint="eastAsia" w:ascii="宋体" w:hAnsi="宋体" w:eastAsia="宋体" w:cs="宋体"/>
                <w:sz w:val="24"/>
                <w:lang w:val="zh-CN"/>
              </w:rPr>
              <w:t>供应商供货能力</w:t>
            </w:r>
          </w:p>
        </w:tc>
        <w:tc>
          <w:tcPr>
            <w:tcW w:w="3120" w:type="pct"/>
            <w:noWrap w:val="0"/>
            <w:vAlign w:val="center"/>
          </w:tcPr>
          <w:p w14:paraId="55D8FEBE">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如供应商为所响应产品制造商或具有有效授权的代理经销商，得</w:t>
            </w:r>
            <w:r>
              <w:rPr>
                <w:rFonts w:hint="eastAsia" w:ascii="宋体" w:hAnsi="宋体" w:eastAsia="宋体" w:cs="宋体"/>
                <w:sz w:val="24"/>
                <w:szCs w:val="24"/>
                <w:lang w:val="en-US" w:eastAsia="zh-CN"/>
              </w:rPr>
              <w:t>2</w:t>
            </w:r>
            <w:r>
              <w:rPr>
                <w:rFonts w:hint="eastAsia" w:ascii="宋体" w:hAnsi="宋体" w:eastAsia="宋体" w:cs="宋体"/>
                <w:sz w:val="24"/>
                <w:szCs w:val="24"/>
              </w:rPr>
              <w:t>分，提供有效的制造商资格证明或授权证明材料并加盖投标人公章，如不提供，不得分。</w:t>
            </w:r>
          </w:p>
          <w:p w14:paraId="6D1E17E7">
            <w:pPr>
              <w:pStyle w:val="5"/>
              <w:pageBreakBefore w:val="0"/>
              <w:kinsoku/>
              <w:wordWrap/>
              <w:overflowPunct/>
              <w:topLinePunct w:val="0"/>
              <w:bidi w:val="0"/>
              <w:spacing w:line="360" w:lineRule="auto"/>
              <w:ind w:firstLine="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投标人须提供所投产品原厂商出具的保修承诺函，并加盖投标人公章。未按要求提供承诺函的，本项不得分。</w:t>
            </w:r>
          </w:p>
          <w:p w14:paraId="6EE54A13">
            <w:pPr>
              <w:pStyle w:val="5"/>
              <w:pageBreakBefore w:val="0"/>
              <w:kinsoku/>
              <w:wordWrap/>
              <w:overflowPunct/>
              <w:topLinePunct w:val="0"/>
              <w:bidi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（1）承诺自验收合格之日起，原</w:t>
            </w:r>
            <w:r>
              <w:rPr>
                <w:rFonts w:hint="eastAsia" w:ascii="宋体" w:hAnsi="宋体" w:eastAsia="宋体" w:cs="宋体"/>
                <w:sz w:val="24"/>
                <w:szCs w:val="24"/>
                <w:highlight w:val="none"/>
                <w:lang w:val="en-US" w:eastAsia="zh-CN"/>
              </w:rPr>
              <w:t>厂质保年限为3年的，得</w:t>
            </w:r>
            <w:r>
              <w:rPr>
                <w:rFonts w:hint="eastAsia" w:ascii="宋体" w:hAnsi="宋体" w:eastAsia="宋体" w:cs="宋体"/>
                <w:sz w:val="24"/>
                <w:szCs w:val="24"/>
                <w:lang w:val="en-US" w:eastAsia="zh-CN"/>
              </w:rPr>
              <w:t>2分；</w:t>
            </w:r>
          </w:p>
          <w:p w14:paraId="0B6EE836">
            <w:pPr>
              <w:pStyle w:val="5"/>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highlight w:val="none"/>
                <w:lang w:val="en-US" w:eastAsia="zh-CN"/>
              </w:rPr>
              <w:t>在3年基础上，质保年限每</w:t>
            </w:r>
            <w:r>
              <w:rPr>
                <w:rFonts w:hint="eastAsia" w:ascii="宋体" w:hAnsi="宋体" w:eastAsia="宋体" w:cs="宋体"/>
                <w:sz w:val="24"/>
                <w:szCs w:val="24"/>
                <w:lang w:val="en-US" w:eastAsia="zh-CN"/>
              </w:rPr>
              <w:t>增加1年，加1分。</w:t>
            </w:r>
          </w:p>
          <w:p w14:paraId="7C75C956">
            <w:pPr>
              <w:pStyle w:val="5"/>
              <w:spacing w:line="360" w:lineRule="auto"/>
              <w:ind w:firstLine="0"/>
              <w:rPr>
                <w:rFonts w:hint="eastAsia" w:ascii="宋体" w:hAnsi="宋体" w:eastAsia="宋体" w:cs="宋体"/>
                <w:sz w:val="24"/>
              </w:rPr>
            </w:pPr>
            <w:r>
              <w:rPr>
                <w:rFonts w:hint="eastAsia" w:ascii="宋体" w:hAnsi="宋体" w:eastAsia="宋体" w:cs="宋体"/>
                <w:sz w:val="24"/>
                <w:szCs w:val="24"/>
                <w:lang w:val="en-US" w:eastAsia="zh-CN"/>
              </w:rPr>
              <w:t>本项最高得分为4分。</w:t>
            </w:r>
          </w:p>
        </w:tc>
        <w:tc>
          <w:tcPr>
            <w:tcW w:w="501" w:type="pct"/>
            <w:noWrap w:val="0"/>
            <w:vAlign w:val="center"/>
          </w:tcPr>
          <w:p w14:paraId="6B4117F1">
            <w:pPr>
              <w:pStyle w:val="5"/>
              <w:spacing w:line="360" w:lineRule="auto"/>
              <w:ind w:firstLine="0"/>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6369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320" w:type="pct"/>
            <w:noWrap w:val="0"/>
            <w:vAlign w:val="center"/>
          </w:tcPr>
          <w:p w14:paraId="71526CBF">
            <w:pPr>
              <w:pStyle w:val="8"/>
              <w:autoSpaceDE/>
              <w:autoSpaceDN/>
              <w:snapToGrid w:val="0"/>
              <w:spacing w:line="240" w:lineRule="auto"/>
              <w:ind w:firstLine="0" w:firstLineChars="0"/>
              <w:jc w:val="center"/>
              <w:textAlignment w:val="baseline"/>
              <w:rPr>
                <w:rFonts w:hint="eastAsia" w:ascii="宋体" w:hAnsi="宋体" w:eastAsia="宋体" w:cs="宋体"/>
                <w:sz w:val="24"/>
              </w:rPr>
            </w:pPr>
            <w:r>
              <w:rPr>
                <w:rFonts w:hint="eastAsia" w:ascii="宋体" w:hAnsi="宋体" w:eastAsia="宋体" w:cs="宋体"/>
                <w:b/>
                <w:sz w:val="24"/>
                <w:lang w:val="en-US" w:eastAsia="zh-CN" w:bidi="ar-SA"/>
              </w:rPr>
              <w:t>二</w:t>
            </w:r>
          </w:p>
        </w:tc>
        <w:tc>
          <w:tcPr>
            <w:tcW w:w="4679" w:type="pct"/>
            <w:gridSpan w:val="3"/>
            <w:noWrap w:val="0"/>
            <w:vAlign w:val="center"/>
          </w:tcPr>
          <w:p w14:paraId="438A39B3">
            <w:pPr>
              <w:spacing w:line="240" w:lineRule="auto"/>
              <w:jc w:val="center"/>
              <w:rPr>
                <w:rFonts w:hint="eastAsia" w:ascii="宋体" w:hAnsi="宋体" w:eastAsia="宋体" w:cs="宋体"/>
                <w:sz w:val="24"/>
              </w:rPr>
            </w:pPr>
            <w:r>
              <w:rPr>
                <w:rFonts w:hint="eastAsia" w:ascii="宋体" w:hAnsi="宋体" w:eastAsia="宋体" w:cs="宋体"/>
                <w:b/>
                <w:sz w:val="24"/>
              </w:rPr>
              <w:t>商务部分（合计15分）</w:t>
            </w:r>
          </w:p>
        </w:tc>
      </w:tr>
      <w:tr w14:paraId="5640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320" w:type="pct"/>
            <w:noWrap w:val="0"/>
            <w:vAlign w:val="center"/>
          </w:tcPr>
          <w:p w14:paraId="7384861C">
            <w:pPr>
              <w:pStyle w:val="8"/>
              <w:numPr>
                <w:ilvl w:val="0"/>
                <w:numId w:val="0"/>
              </w:numPr>
              <w:autoSpaceDE/>
              <w:autoSpaceDN/>
              <w:snapToGrid w:val="0"/>
              <w:spacing w:line="240" w:lineRule="auto"/>
              <w:ind w:left="0" w:left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058" w:type="pct"/>
            <w:noWrap w:val="0"/>
            <w:vAlign w:val="center"/>
          </w:tcPr>
          <w:p w14:paraId="02B14F93">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szCs w:val="24"/>
              </w:rPr>
              <w:t>售后服务方案</w:t>
            </w:r>
          </w:p>
        </w:tc>
        <w:tc>
          <w:tcPr>
            <w:tcW w:w="3120" w:type="pct"/>
            <w:noWrap w:val="0"/>
            <w:vAlign w:val="center"/>
          </w:tcPr>
          <w:p w14:paraId="3EABF5FD">
            <w:pPr>
              <w:spacing w:line="360" w:lineRule="auto"/>
              <w:rPr>
                <w:rFonts w:hint="eastAsia" w:ascii="宋体" w:hAnsi="宋体" w:eastAsia="宋体" w:cs="宋体"/>
                <w:sz w:val="24"/>
              </w:rPr>
            </w:pPr>
            <w:r>
              <w:rPr>
                <w:rFonts w:hint="eastAsia" w:ascii="宋体" w:hAnsi="宋体" w:eastAsia="宋体" w:cs="宋体"/>
                <w:sz w:val="24"/>
              </w:rPr>
              <w:t>根据投标人提供售后服务的能力（包括质保期、维护保养方案是否完善具体，各阶段服务计划（履约进度表）是否详尽等），综合评价优</w:t>
            </w:r>
            <w:r>
              <w:rPr>
                <w:rFonts w:hint="eastAsia" w:ascii="宋体" w:hAnsi="宋体" w:eastAsia="宋体" w:cs="宋体"/>
                <w:sz w:val="24"/>
                <w:lang w:val="en-US" w:eastAsia="zh-CN"/>
              </w:rPr>
              <w:t>5</w:t>
            </w:r>
            <w:r>
              <w:rPr>
                <w:rFonts w:hint="eastAsia" w:ascii="宋体" w:hAnsi="宋体" w:eastAsia="宋体" w:cs="宋体"/>
                <w:sz w:val="24"/>
              </w:rPr>
              <w:t>分，次之3分，</w:t>
            </w:r>
            <w:r>
              <w:rPr>
                <w:rFonts w:hint="eastAsia" w:ascii="宋体" w:hAnsi="宋体" w:eastAsia="宋体" w:cs="宋体"/>
                <w:sz w:val="24"/>
                <w:lang w:val="en-US" w:eastAsia="zh-CN"/>
              </w:rPr>
              <w:t>若</w:t>
            </w:r>
            <w:r>
              <w:rPr>
                <w:rFonts w:hint="eastAsia" w:ascii="宋体" w:hAnsi="宋体" w:eastAsia="宋体" w:cs="宋体"/>
                <w:sz w:val="24"/>
              </w:rPr>
              <w:t>没有具体承诺或不提供方案的不得分。</w:t>
            </w:r>
          </w:p>
        </w:tc>
        <w:tc>
          <w:tcPr>
            <w:tcW w:w="501" w:type="pct"/>
            <w:noWrap w:val="0"/>
            <w:vAlign w:val="center"/>
          </w:tcPr>
          <w:p w14:paraId="79C02D3D">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r>
      <w:tr w14:paraId="33BA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320" w:type="pct"/>
            <w:noWrap w:val="0"/>
            <w:vAlign w:val="center"/>
          </w:tcPr>
          <w:p w14:paraId="1933FF20">
            <w:pPr>
              <w:pStyle w:val="8"/>
              <w:numPr>
                <w:ilvl w:val="0"/>
                <w:numId w:val="0"/>
              </w:numPr>
              <w:autoSpaceDE/>
              <w:autoSpaceDN/>
              <w:snapToGrid w:val="0"/>
              <w:spacing w:line="240" w:lineRule="auto"/>
              <w:ind w:firstLine="0" w:firstLineChars="0"/>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058" w:type="pct"/>
            <w:noWrap w:val="0"/>
            <w:vAlign w:val="center"/>
          </w:tcPr>
          <w:p w14:paraId="32FC3C4E">
            <w:pPr>
              <w:tabs>
                <w:tab w:val="left" w:pos="840"/>
              </w:tabs>
              <w:spacing w:line="360" w:lineRule="auto"/>
              <w:jc w:val="center"/>
              <w:rPr>
                <w:rFonts w:hint="eastAsia" w:ascii="宋体" w:hAnsi="宋体" w:eastAsia="宋体" w:cs="宋体"/>
                <w:sz w:val="24"/>
              </w:rPr>
            </w:pPr>
            <w:r>
              <w:rPr>
                <w:rFonts w:hint="eastAsia" w:ascii="宋体" w:hAnsi="宋体" w:eastAsia="宋体" w:cs="宋体"/>
                <w:sz w:val="24"/>
              </w:rPr>
              <w:t>自202</w:t>
            </w:r>
            <w:r>
              <w:rPr>
                <w:rFonts w:hint="eastAsia" w:ascii="宋体" w:hAnsi="宋体" w:eastAsia="宋体" w:cs="宋体"/>
                <w:sz w:val="24"/>
                <w:lang w:val="en-US" w:eastAsia="zh-CN"/>
              </w:rPr>
              <w:t>3</w:t>
            </w:r>
            <w:r>
              <w:rPr>
                <w:rFonts w:hint="eastAsia" w:ascii="宋体" w:hAnsi="宋体" w:eastAsia="宋体" w:cs="宋体"/>
                <w:sz w:val="24"/>
              </w:rPr>
              <w:t>年1月1日以来的设备业绩和信誉</w:t>
            </w:r>
          </w:p>
        </w:tc>
        <w:tc>
          <w:tcPr>
            <w:tcW w:w="3120" w:type="pct"/>
            <w:noWrap w:val="0"/>
            <w:vAlign w:val="center"/>
          </w:tcPr>
          <w:p w14:paraId="7540ECD1">
            <w:pPr>
              <w:spacing w:line="360" w:lineRule="auto"/>
              <w:rPr>
                <w:rFonts w:hint="eastAsia" w:ascii="宋体" w:hAnsi="宋体" w:eastAsia="宋体" w:cs="宋体"/>
                <w:sz w:val="24"/>
                <w:lang w:val="zh-CN"/>
              </w:rPr>
            </w:pPr>
            <w:r>
              <w:rPr>
                <w:rFonts w:hint="eastAsia" w:ascii="宋体" w:hAnsi="宋体" w:eastAsia="宋体" w:cs="宋体"/>
                <w:sz w:val="24"/>
                <w:lang w:val="zh-CN"/>
              </w:rPr>
              <w:t>每提供一项</w:t>
            </w:r>
            <w:r>
              <w:rPr>
                <w:rFonts w:hint="eastAsia" w:ascii="宋体" w:hAnsi="宋体" w:eastAsia="宋体" w:cs="宋体"/>
                <w:sz w:val="24"/>
                <w:lang w:val="en-US" w:eastAsia="zh-CN"/>
              </w:rPr>
              <w:t>设备</w:t>
            </w:r>
            <w:r>
              <w:rPr>
                <w:rFonts w:hint="eastAsia" w:ascii="宋体" w:hAnsi="宋体" w:eastAsia="宋体" w:cs="宋体"/>
                <w:sz w:val="24"/>
                <w:lang w:val="zh-CN"/>
              </w:rPr>
              <w:t>业绩的合同和中标通知书复印件并加盖公章得</w:t>
            </w:r>
            <w:r>
              <w:rPr>
                <w:rFonts w:hint="eastAsia" w:ascii="宋体" w:hAnsi="宋体" w:eastAsia="宋体" w:cs="宋体"/>
                <w:sz w:val="24"/>
                <w:lang w:val="en-US" w:eastAsia="zh-CN"/>
              </w:rPr>
              <w:t>2</w:t>
            </w:r>
            <w:r>
              <w:rPr>
                <w:rFonts w:hint="eastAsia" w:ascii="宋体" w:hAnsi="宋体" w:eastAsia="宋体" w:cs="宋体"/>
                <w:sz w:val="24"/>
                <w:lang w:val="zh-CN"/>
              </w:rPr>
              <w:t>分，最高得</w:t>
            </w:r>
            <w:r>
              <w:rPr>
                <w:rFonts w:hint="eastAsia" w:ascii="宋体" w:hAnsi="宋体" w:eastAsia="宋体" w:cs="宋体"/>
                <w:sz w:val="24"/>
                <w:lang w:val="en-US" w:eastAsia="zh-CN"/>
              </w:rPr>
              <w:t>6</w:t>
            </w:r>
            <w:r>
              <w:rPr>
                <w:rFonts w:hint="eastAsia" w:ascii="宋体" w:hAnsi="宋体" w:eastAsia="宋体" w:cs="宋体"/>
                <w:sz w:val="24"/>
                <w:lang w:val="zh-CN"/>
              </w:rPr>
              <w:t xml:space="preserve">分，不提供不得分。 </w:t>
            </w:r>
          </w:p>
          <w:p w14:paraId="7CA7AD58">
            <w:pPr>
              <w:spacing w:line="360" w:lineRule="auto"/>
              <w:rPr>
                <w:rFonts w:hint="eastAsia" w:ascii="宋体" w:hAnsi="宋体" w:eastAsia="宋体" w:cs="宋体"/>
                <w:sz w:val="24"/>
              </w:rPr>
            </w:pPr>
            <w:r>
              <w:rPr>
                <w:rFonts w:hint="eastAsia" w:ascii="宋体" w:hAnsi="宋体" w:eastAsia="宋体" w:cs="宋体"/>
                <w:sz w:val="24"/>
              </w:rPr>
              <w:t>注：以合同签订时间为准。</w:t>
            </w:r>
          </w:p>
          <w:p w14:paraId="1C358A5F">
            <w:pPr>
              <w:spacing w:line="360" w:lineRule="auto"/>
              <w:rPr>
                <w:rFonts w:hint="eastAsia" w:ascii="宋体" w:hAnsi="宋体" w:eastAsia="宋体" w:cs="宋体"/>
                <w:sz w:val="24"/>
              </w:rPr>
            </w:pPr>
            <w:r>
              <w:rPr>
                <w:rFonts w:hint="eastAsia" w:ascii="宋体" w:hAnsi="宋体" w:eastAsia="宋体" w:cs="宋体"/>
                <w:sz w:val="24"/>
              </w:rPr>
              <w:t>1.要求同时提供合同关键信息（含首页、签字页）</w:t>
            </w:r>
            <w:r>
              <w:rPr>
                <w:rFonts w:hint="eastAsia" w:ascii="宋体" w:hAnsi="宋体" w:eastAsia="宋体" w:cs="宋体"/>
                <w:sz w:val="24"/>
                <w:lang w:val="zh-CN"/>
              </w:rPr>
              <w:t>和中标通知书</w:t>
            </w:r>
            <w:r>
              <w:rPr>
                <w:rFonts w:hint="eastAsia" w:ascii="宋体" w:hAnsi="宋体" w:eastAsia="宋体" w:cs="宋体"/>
                <w:sz w:val="24"/>
              </w:rPr>
              <w:t>证明文件作为得分依据。</w:t>
            </w:r>
          </w:p>
          <w:p w14:paraId="32B049AB">
            <w:pPr>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.资料均要求提供扫描件加盖投标人公章。评分中出现无证明资料或专家无法凭所提供资料判断是否得分的情况，一律作不得分处理。</w:t>
            </w:r>
          </w:p>
        </w:tc>
        <w:tc>
          <w:tcPr>
            <w:tcW w:w="501" w:type="pct"/>
            <w:noWrap w:val="0"/>
            <w:vAlign w:val="center"/>
          </w:tcPr>
          <w:p w14:paraId="78819852">
            <w:pPr>
              <w:spacing w:line="360" w:lineRule="auto"/>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r>
      <w:tr w14:paraId="0D1E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20" w:type="pct"/>
            <w:noWrap w:val="0"/>
            <w:vAlign w:val="center"/>
          </w:tcPr>
          <w:p w14:paraId="10975F3C">
            <w:pPr>
              <w:pStyle w:val="8"/>
              <w:numPr>
                <w:ilvl w:val="0"/>
                <w:numId w:val="0"/>
              </w:numPr>
              <w:autoSpaceDE/>
              <w:autoSpaceDN/>
              <w:snapToGrid w:val="0"/>
              <w:spacing w:line="36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1058" w:type="pct"/>
            <w:noWrap w:val="0"/>
            <w:vAlign w:val="center"/>
          </w:tcPr>
          <w:p w14:paraId="13FED938">
            <w:pPr>
              <w:tabs>
                <w:tab w:val="left" w:pos="840"/>
              </w:tabs>
              <w:spacing w:line="360" w:lineRule="auto"/>
              <w:jc w:val="center"/>
              <w:rPr>
                <w:rFonts w:hint="eastAsia" w:ascii="宋体" w:hAnsi="宋体" w:eastAsia="宋体" w:cs="宋体"/>
                <w:b/>
                <w:sz w:val="24"/>
              </w:rPr>
            </w:pPr>
            <w:r>
              <w:rPr>
                <w:rFonts w:hint="eastAsia" w:ascii="宋体" w:hAnsi="宋体" w:eastAsia="宋体" w:cs="宋体"/>
                <w:sz w:val="24"/>
              </w:rPr>
              <w:t>使用用户评价</w:t>
            </w:r>
          </w:p>
        </w:tc>
        <w:tc>
          <w:tcPr>
            <w:tcW w:w="3120" w:type="pct"/>
            <w:noWrap w:val="0"/>
            <w:vAlign w:val="center"/>
          </w:tcPr>
          <w:p w14:paraId="76CB70E2">
            <w:pPr>
              <w:widowControl/>
              <w:spacing w:line="360" w:lineRule="auto"/>
              <w:rPr>
                <w:rFonts w:hint="eastAsia" w:ascii="宋体" w:hAnsi="宋体" w:eastAsia="宋体" w:cs="宋体"/>
                <w:sz w:val="24"/>
              </w:rPr>
            </w:pPr>
            <w:r>
              <w:rPr>
                <w:rFonts w:hint="eastAsia" w:ascii="宋体" w:hAnsi="宋体" w:eastAsia="宋体" w:cs="宋体"/>
                <w:sz w:val="24"/>
              </w:rPr>
              <w:t>提供使用用户评价，每提供一个类似“满意”或“非常满意”或“优”的使用用户评价得</w:t>
            </w:r>
            <w:r>
              <w:rPr>
                <w:rFonts w:hint="eastAsia" w:ascii="宋体" w:hAnsi="宋体" w:eastAsia="宋体" w:cs="宋体"/>
                <w:sz w:val="24"/>
                <w:lang w:val="en-US" w:eastAsia="zh-CN"/>
              </w:rPr>
              <w:t>2</w:t>
            </w:r>
            <w:r>
              <w:rPr>
                <w:rFonts w:hint="eastAsia" w:ascii="宋体" w:hAnsi="宋体" w:eastAsia="宋体" w:cs="宋体"/>
                <w:sz w:val="24"/>
              </w:rPr>
              <w:t>分，本项最高不超过4分。须提供用户单位的评价证明（格式自拟，须加盖用户单位印章）</w:t>
            </w:r>
          </w:p>
        </w:tc>
        <w:tc>
          <w:tcPr>
            <w:tcW w:w="501" w:type="pct"/>
            <w:noWrap w:val="0"/>
            <w:vAlign w:val="center"/>
          </w:tcPr>
          <w:p w14:paraId="522D3840">
            <w:pPr>
              <w:spacing w:line="360" w:lineRule="auto"/>
              <w:jc w:val="center"/>
              <w:rPr>
                <w:rFonts w:hint="eastAsia" w:ascii="宋体" w:hAnsi="宋体" w:eastAsia="宋体" w:cs="宋体"/>
                <w:sz w:val="24"/>
              </w:rPr>
            </w:pPr>
            <w:r>
              <w:rPr>
                <w:rFonts w:hint="eastAsia" w:ascii="宋体" w:hAnsi="宋体" w:eastAsia="宋体" w:cs="宋体"/>
                <w:sz w:val="24"/>
              </w:rPr>
              <w:t>4</w:t>
            </w:r>
          </w:p>
        </w:tc>
      </w:tr>
      <w:tr w14:paraId="578F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320" w:type="pct"/>
            <w:noWrap w:val="0"/>
            <w:vAlign w:val="center"/>
          </w:tcPr>
          <w:p w14:paraId="7567F79A">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rPr>
            </w:pPr>
            <w:r>
              <w:rPr>
                <w:rFonts w:hint="eastAsia" w:ascii="宋体" w:hAnsi="宋体" w:eastAsia="宋体" w:cs="宋体"/>
                <w:sz w:val="24"/>
                <w:lang w:val="en-US" w:eastAsia="zh-CN"/>
              </w:rPr>
              <w:t>三</w:t>
            </w:r>
          </w:p>
        </w:tc>
        <w:tc>
          <w:tcPr>
            <w:tcW w:w="4679" w:type="pct"/>
            <w:gridSpan w:val="3"/>
            <w:noWrap w:val="0"/>
            <w:vAlign w:val="center"/>
          </w:tcPr>
          <w:p w14:paraId="3DD96337">
            <w:pPr>
              <w:spacing w:line="360" w:lineRule="auto"/>
              <w:jc w:val="center"/>
              <w:rPr>
                <w:rFonts w:hint="eastAsia" w:ascii="宋体" w:hAnsi="宋体" w:eastAsia="宋体" w:cs="宋体"/>
                <w:sz w:val="24"/>
                <w:lang w:val="en-US" w:eastAsia="zh-CN"/>
              </w:rPr>
            </w:pPr>
            <w:r>
              <w:rPr>
                <w:rFonts w:hint="eastAsia" w:ascii="宋体" w:hAnsi="宋体" w:eastAsia="宋体" w:cs="宋体"/>
                <w:b/>
                <w:sz w:val="24"/>
                <w:lang w:val="en-US" w:eastAsia="zh-CN"/>
              </w:rPr>
              <w:t>报价</w:t>
            </w:r>
            <w:r>
              <w:rPr>
                <w:rFonts w:hint="eastAsia" w:ascii="宋体" w:hAnsi="宋体" w:eastAsia="宋体" w:cs="宋体"/>
                <w:b/>
                <w:sz w:val="24"/>
              </w:rPr>
              <w:t>部分（合计</w:t>
            </w:r>
            <w:r>
              <w:rPr>
                <w:rFonts w:hint="eastAsia" w:ascii="宋体" w:hAnsi="宋体" w:eastAsia="宋体" w:cs="宋体"/>
                <w:b/>
                <w:sz w:val="24"/>
                <w:lang w:val="en-US" w:eastAsia="zh-CN"/>
              </w:rPr>
              <w:t>30</w:t>
            </w:r>
            <w:r>
              <w:rPr>
                <w:rFonts w:hint="eastAsia" w:ascii="宋体" w:hAnsi="宋体" w:eastAsia="宋体" w:cs="宋体"/>
                <w:b/>
                <w:sz w:val="24"/>
              </w:rPr>
              <w:t>分）</w:t>
            </w:r>
          </w:p>
        </w:tc>
      </w:tr>
      <w:tr w14:paraId="563B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320" w:type="pct"/>
            <w:noWrap w:val="0"/>
            <w:vAlign w:val="center"/>
          </w:tcPr>
          <w:p w14:paraId="5B6D1CDF">
            <w:pPr>
              <w:pStyle w:val="8"/>
              <w:numPr>
                <w:ilvl w:val="0"/>
                <w:numId w:val="0"/>
              </w:numPr>
              <w:autoSpaceDE/>
              <w:autoSpaceDN/>
              <w:snapToGrid w:val="0"/>
              <w:spacing w:line="240" w:lineRule="auto"/>
              <w:jc w:val="center"/>
              <w:textAlignment w:val="baseline"/>
              <w:rPr>
                <w:rFonts w:hint="eastAsia" w:ascii="宋体" w:hAnsi="宋体" w:eastAsia="宋体" w:cs="宋体"/>
                <w:sz w:val="24"/>
                <w:lang w:val="en-US" w:eastAsia="zh-CN" w:bidi="ar-SA"/>
              </w:rPr>
            </w:pPr>
            <w:r>
              <w:rPr>
                <w:rFonts w:hint="eastAsia" w:ascii="宋体" w:hAnsi="宋体" w:eastAsia="宋体" w:cs="宋体"/>
                <w:sz w:val="24"/>
                <w:lang w:val="en-US" w:eastAsia="zh-CN" w:bidi="ar-SA"/>
              </w:rPr>
              <w:t>1</w:t>
            </w:r>
          </w:p>
        </w:tc>
        <w:tc>
          <w:tcPr>
            <w:tcW w:w="1058" w:type="pct"/>
            <w:noWrap w:val="0"/>
            <w:vAlign w:val="center"/>
          </w:tcPr>
          <w:p w14:paraId="787D2EC7">
            <w:pPr>
              <w:tabs>
                <w:tab w:val="left" w:pos="840"/>
              </w:tabs>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投标报价得分</w:t>
            </w:r>
          </w:p>
        </w:tc>
        <w:tc>
          <w:tcPr>
            <w:tcW w:w="3120" w:type="pct"/>
            <w:noWrap w:val="0"/>
            <w:vAlign w:val="center"/>
          </w:tcPr>
          <w:p w14:paraId="1ACE908C">
            <w:pPr>
              <w:widowControl/>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投标报价得分＝（评标基准价/投标报价）×价格分值</w:t>
            </w:r>
          </w:p>
          <w:p w14:paraId="48D95022">
            <w:pPr>
              <w:widowControl/>
              <w:spacing w:line="360" w:lineRule="auto"/>
              <w:rPr>
                <w:rFonts w:hint="eastAsia" w:ascii="宋体" w:hAnsi="宋体" w:eastAsia="宋体" w:cs="宋体"/>
                <w:sz w:val="24"/>
                <w:lang w:val="en-US" w:eastAsia="zh-CN" w:bidi="ar-SA"/>
              </w:rPr>
            </w:pPr>
            <w:r>
              <w:rPr>
                <w:rFonts w:hint="eastAsia" w:ascii="宋体" w:hAnsi="宋体" w:eastAsia="宋体" w:cs="宋体"/>
                <w:sz w:val="24"/>
                <w:lang w:val="en-US" w:eastAsia="zh-CN"/>
              </w:rPr>
              <w:t>备注：投标报价得分四舍五入后，小数点后保留两位有效数</w:t>
            </w:r>
          </w:p>
        </w:tc>
        <w:tc>
          <w:tcPr>
            <w:tcW w:w="501" w:type="pct"/>
            <w:noWrap w:val="0"/>
            <w:vAlign w:val="center"/>
          </w:tcPr>
          <w:p w14:paraId="08866A7B">
            <w:pPr>
              <w:spacing w:line="240" w:lineRule="auto"/>
              <w:jc w:val="center"/>
              <w:rPr>
                <w:rFonts w:hint="eastAsia" w:ascii="宋体" w:hAnsi="宋体" w:eastAsia="宋体" w:cs="宋体"/>
                <w:sz w:val="24"/>
                <w:lang w:val="en-US" w:eastAsia="zh-CN" w:bidi="ar-SA"/>
              </w:rPr>
            </w:pPr>
            <w:r>
              <w:rPr>
                <w:rFonts w:hint="eastAsia" w:ascii="宋体" w:hAnsi="宋体" w:eastAsia="宋体" w:cs="宋体"/>
                <w:sz w:val="24"/>
                <w:lang w:val="en-US" w:eastAsia="zh-CN" w:bidi="ar-SA"/>
              </w:rPr>
              <w:t>30</w:t>
            </w:r>
          </w:p>
        </w:tc>
      </w:tr>
      <w:tr w14:paraId="5875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8" w:type="pct"/>
            <w:gridSpan w:val="3"/>
            <w:noWrap w:val="0"/>
            <w:vAlign w:val="center"/>
          </w:tcPr>
          <w:p w14:paraId="094821FF">
            <w:pPr>
              <w:widowControl/>
              <w:spacing w:line="360" w:lineRule="auto"/>
              <w:jc w:val="center"/>
              <w:rPr>
                <w:rFonts w:hint="eastAsia" w:ascii="宋体" w:hAnsi="宋体" w:eastAsia="宋体" w:cs="宋体"/>
                <w:sz w:val="24"/>
              </w:rPr>
            </w:pPr>
            <w:r>
              <w:rPr>
                <w:rFonts w:hint="eastAsia" w:ascii="宋体" w:hAnsi="宋体" w:eastAsia="宋体" w:cs="宋体"/>
                <w:sz w:val="24"/>
              </w:rPr>
              <w:t>合计</w:t>
            </w:r>
          </w:p>
        </w:tc>
        <w:tc>
          <w:tcPr>
            <w:tcW w:w="501" w:type="pct"/>
            <w:noWrap w:val="0"/>
            <w:vAlign w:val="center"/>
          </w:tcPr>
          <w:p w14:paraId="7120DEBC">
            <w:pPr>
              <w:widowControl/>
              <w:spacing w:line="36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100分</w:t>
            </w:r>
          </w:p>
        </w:tc>
      </w:tr>
    </w:tbl>
    <w:p w14:paraId="6FEFDFB6">
      <w:pPr>
        <w:pageBreakBefore w:val="0"/>
        <w:kinsoku/>
        <w:wordWrap/>
        <w:overflowPunct/>
        <w:topLinePunct w:val="0"/>
        <w:bidi w:val="0"/>
        <w:spacing w:line="576"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74A90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5">
    <w:name w:val="Normal Indent"/>
    <w:basedOn w:val="1"/>
    <w:qFormat/>
    <w:uiPriority w:val="0"/>
    <w:pPr>
      <w:ind w:firstLine="420"/>
    </w:pPr>
    <w:rPr>
      <w:szCs w:val="20"/>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1143</Words>
  <Characters>1161</Characters>
  <Lines>0</Lines>
  <Paragraphs>0</Paragraphs>
  <TotalTime>0</TotalTime>
  <ScaleCrop>false</ScaleCrop>
  <LinksUpToDate>false</LinksUpToDate>
  <CharactersWithSpaces>1162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2026-06-02T08:25:14Z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27D9E72546BF4247A432C1E1FDC69A80_11</vt:lpwstr>
  </property>
  <property fmtid="{D5CDD505-2E9C-101B-9397-08002B2CF9AE}" pid="4" name="KSOTemplateDocerSaveRecord">
    <vt:lpwstr>eyJoZGlkIjoiMTBiZDkyZDdiNjQ3ODk4YzI4M2RmZDNmYTRiZGJiNjkiLCJ1c2VySWQiOiIxMzQ0MTYwMDk1In0=</vt:lpwstr>
  </property>
</Properties>
</file>