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FF168">
      <w:pPr>
        <w:rPr>
          <w:rFonts w:hint="eastAsia"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w:t>
      </w:r>
      <w:r>
        <w:rPr>
          <w:rFonts w:hint="eastAsia" w:ascii="Times New Roman" w:hAnsi="Times New Roman" w:eastAsia="仿宋_GB2312" w:cs="Times New Roman"/>
          <w:color w:val="000000"/>
          <w:sz w:val="32"/>
          <w:szCs w:val="32"/>
          <w:shd w:val="clear" w:color="auto" w:fill="FFFFFF"/>
          <w:lang w:val="en-US" w:eastAsia="zh-CN"/>
        </w:rPr>
        <w:t>2</w:t>
      </w:r>
      <w:r>
        <w:rPr>
          <w:rFonts w:hint="default" w:ascii="Times New Roman" w:hAnsi="Times New Roman" w:eastAsia="仿宋_GB2312" w:cs="Times New Roman"/>
          <w:color w:val="000000"/>
          <w:sz w:val="32"/>
          <w:szCs w:val="32"/>
          <w:shd w:val="clear" w:color="auto" w:fill="FFFFFF"/>
          <w:lang w:val="en-US" w:eastAsia="zh-CN"/>
        </w:rPr>
        <w:t>：</w:t>
      </w:r>
      <w:r>
        <w:rPr>
          <w:rFonts w:hint="eastAsia" w:ascii="Times New Roman" w:hAnsi="Times New Roman" w:eastAsia="仿宋_GB2312" w:cs="Times New Roman"/>
          <w:color w:val="000000"/>
          <w:sz w:val="32"/>
          <w:szCs w:val="32"/>
          <w:shd w:val="clear" w:color="auto" w:fill="FFFFFF"/>
          <w:lang w:val="en-US" w:eastAsia="zh-CN"/>
        </w:rPr>
        <w:t>合同范本</w:t>
      </w:r>
    </w:p>
    <w:p w14:paraId="5FD181DD">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广东省第一荣军优抚医院</w:t>
      </w:r>
    </w:p>
    <w:p w14:paraId="5561F634">
      <w:pPr>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医养结合管理系统</w:t>
      </w:r>
    </w:p>
    <w:p w14:paraId="7D5606D9">
      <w:pPr>
        <w:jc w:val="center"/>
        <w:rPr>
          <w:rFonts w:hint="eastAsia" w:ascii="宋体" w:hAnsi="宋体" w:eastAsia="宋体" w:cs="宋体"/>
          <w:b/>
          <w:bCs/>
          <w:color w:val="000000"/>
          <w:sz w:val="32"/>
          <w:szCs w:val="32"/>
          <w:u w:val="single"/>
        </w:rPr>
      </w:pPr>
    </w:p>
    <w:p w14:paraId="73146AE9">
      <w:pPr>
        <w:jc w:val="center"/>
        <w:rPr>
          <w:rFonts w:hint="eastAsia" w:ascii="宋体" w:hAnsi="宋体" w:eastAsia="宋体" w:cs="宋体"/>
          <w:b/>
          <w:bCs/>
          <w:smallCaps/>
          <w:color w:val="000000"/>
          <w:sz w:val="84"/>
          <w:szCs w:val="19"/>
          <w:lang w:val="zh-CN" w:bidi="zh-CN"/>
        </w:rPr>
      </w:pPr>
      <w:r>
        <w:rPr>
          <w:rFonts w:hint="eastAsia" w:ascii="宋体" w:hAnsi="宋体" w:eastAsia="宋体" w:cs="宋体"/>
          <w:b/>
          <w:bCs/>
          <w:smallCaps/>
          <w:color w:val="000000"/>
          <w:sz w:val="48"/>
          <w:szCs w:val="48"/>
          <w:lang w:val="zh-CN" w:bidi="zh-CN"/>
        </w:rPr>
        <w:t>采</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购</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合</w:t>
      </w:r>
      <w:r>
        <w:rPr>
          <w:rFonts w:hint="eastAsia" w:ascii="宋体" w:hAnsi="宋体" w:eastAsia="宋体" w:cs="宋体"/>
          <w:b/>
          <w:bCs/>
          <w:smallCaps/>
          <w:color w:val="000000"/>
          <w:sz w:val="48"/>
          <w:szCs w:val="48"/>
          <w:lang w:bidi="zh-CN"/>
        </w:rPr>
        <w:t xml:space="preserve"> </w:t>
      </w:r>
      <w:r>
        <w:rPr>
          <w:rFonts w:hint="eastAsia" w:ascii="宋体" w:hAnsi="宋体" w:eastAsia="宋体" w:cs="宋体"/>
          <w:b/>
          <w:bCs/>
          <w:smallCaps/>
          <w:color w:val="000000"/>
          <w:sz w:val="48"/>
          <w:szCs w:val="48"/>
          <w:lang w:val="zh-CN" w:bidi="zh-CN"/>
        </w:rPr>
        <w:t>同</w:t>
      </w:r>
    </w:p>
    <w:p w14:paraId="3377019D">
      <w:pPr>
        <w:pStyle w:val="12"/>
        <w:rPr>
          <w:rFonts w:ascii="宋体" w:hAnsi="宋体" w:eastAsia="宋体" w:cs="宋体"/>
        </w:rPr>
      </w:pPr>
    </w:p>
    <w:p w14:paraId="1E2C2C62">
      <w:pPr>
        <w:pStyle w:val="12"/>
        <w:jc w:val="right"/>
        <w:rPr>
          <w:rFonts w:ascii="宋体" w:hAnsi="宋体" w:eastAsia="宋体" w:cs="宋体"/>
        </w:rPr>
      </w:pPr>
      <w:r>
        <w:rPr>
          <w:rFonts w:ascii="宋体" w:hAnsi="宋体" w:eastAsia="宋体" w:cs="宋体"/>
          <w:sz w:val="21"/>
        </w:rPr>
        <w:t xml:space="preserve">  </w:t>
      </w:r>
    </w:p>
    <w:p w14:paraId="67570238">
      <w:pPr>
        <w:pStyle w:val="12"/>
        <w:jc w:val="both"/>
        <w:rPr>
          <w:rFonts w:ascii="宋体" w:hAnsi="宋体" w:eastAsia="宋体" w:cs="宋体"/>
        </w:rPr>
      </w:pPr>
      <w:r>
        <w:rPr>
          <w:rFonts w:ascii="宋体" w:hAnsi="宋体" w:eastAsia="宋体" w:cs="宋体"/>
          <w:sz w:val="21"/>
        </w:rPr>
        <w:t>甲方：</w:t>
      </w:r>
      <w:r>
        <w:rPr>
          <w:rFonts w:ascii="宋体" w:hAnsi="宋体" w:eastAsia="宋体" w:cs="宋体"/>
          <w:b/>
          <w:sz w:val="21"/>
          <w:u w:val="single"/>
        </w:rPr>
        <w:t>广东省第一荣军优抚医院</w:t>
      </w:r>
      <w:r>
        <w:rPr>
          <w:rFonts w:ascii="宋体" w:hAnsi="宋体" w:eastAsia="宋体" w:cs="宋体"/>
          <w:sz w:val="21"/>
        </w:rPr>
        <w:t>（以下简称甲方）</w:t>
      </w:r>
    </w:p>
    <w:p w14:paraId="385B8F64">
      <w:pPr>
        <w:pStyle w:val="12"/>
        <w:jc w:val="both"/>
        <w:rPr>
          <w:rFonts w:ascii="宋体" w:hAnsi="宋体" w:eastAsia="宋体" w:cs="宋体"/>
        </w:rPr>
      </w:pPr>
      <w:r>
        <w:rPr>
          <w:rFonts w:ascii="宋体" w:hAnsi="宋体" w:eastAsia="宋体" w:cs="宋体"/>
          <w:sz w:val="21"/>
        </w:rPr>
        <w:t>电话：020-84187600-26</w:t>
      </w:r>
      <w:r>
        <w:rPr>
          <w:rFonts w:hint="eastAsia" w:ascii="宋体" w:hAnsi="宋体" w:eastAsia="宋体" w:cs="宋体"/>
          <w:sz w:val="21"/>
          <w:lang w:val="en-US" w:eastAsia="zh-CN"/>
        </w:rPr>
        <w:t>09</w:t>
      </w:r>
      <w:r>
        <w:rPr>
          <w:rFonts w:ascii="宋体" w:hAnsi="宋体" w:eastAsia="宋体" w:cs="宋体"/>
          <w:sz w:val="21"/>
        </w:rPr>
        <w:t xml:space="preserve">                         </w:t>
      </w:r>
    </w:p>
    <w:p w14:paraId="73B3089A">
      <w:pPr>
        <w:pStyle w:val="12"/>
        <w:jc w:val="both"/>
        <w:rPr>
          <w:rFonts w:ascii="宋体" w:hAnsi="宋体" w:eastAsia="宋体" w:cs="宋体"/>
        </w:rPr>
      </w:pPr>
      <w:r>
        <w:rPr>
          <w:rFonts w:ascii="宋体" w:hAnsi="宋体" w:eastAsia="宋体" w:cs="宋体"/>
          <w:sz w:val="21"/>
        </w:rPr>
        <w:t>地址：广州市海珠区新港西路114号</w:t>
      </w:r>
    </w:p>
    <w:p w14:paraId="014955A6">
      <w:pPr>
        <w:pStyle w:val="12"/>
        <w:jc w:val="both"/>
        <w:rPr>
          <w:rFonts w:ascii="宋体" w:hAnsi="宋体" w:eastAsia="宋体" w:cs="宋体"/>
        </w:rPr>
      </w:pPr>
      <w:r>
        <w:rPr>
          <w:rFonts w:ascii="宋体" w:hAnsi="宋体" w:eastAsia="宋体" w:cs="宋体"/>
          <w:sz w:val="21"/>
        </w:rPr>
        <w:t>乙方：</w:t>
      </w:r>
      <w:r>
        <w:rPr>
          <w:rFonts w:hint="eastAsia" w:ascii="宋体" w:hAnsi="宋体" w:eastAsia="宋体" w:cs="宋体"/>
          <w:b/>
          <w:sz w:val="21"/>
          <w:u w:val="single"/>
          <w:lang w:val="en-US" w:eastAsia="zh-CN"/>
        </w:rPr>
        <w:t>XX</w:t>
      </w:r>
      <w:r>
        <w:rPr>
          <w:rFonts w:ascii="宋体" w:hAnsi="宋体" w:eastAsia="宋体" w:cs="宋体"/>
          <w:b/>
          <w:sz w:val="21"/>
          <w:u w:val="single"/>
          <w:lang w:eastAsia="zh-CN"/>
        </w:rPr>
        <w:t>公司</w:t>
      </w:r>
      <w:r>
        <w:rPr>
          <w:rFonts w:ascii="宋体" w:hAnsi="宋体" w:eastAsia="宋体" w:cs="宋体"/>
          <w:sz w:val="21"/>
        </w:rPr>
        <w:t>（以下简称乙方）</w:t>
      </w:r>
    </w:p>
    <w:p w14:paraId="04ADA9FF">
      <w:pPr>
        <w:pStyle w:val="12"/>
        <w:jc w:val="both"/>
        <w:rPr>
          <w:rFonts w:ascii="宋体" w:hAnsi="宋体" w:eastAsia="宋体" w:cs="宋体"/>
        </w:rPr>
      </w:pPr>
      <w:r>
        <w:rPr>
          <w:rFonts w:ascii="宋体" w:hAnsi="宋体" w:eastAsia="宋体" w:cs="宋体"/>
          <w:sz w:val="21"/>
        </w:rPr>
        <w:t>电话：</w:t>
      </w:r>
    </w:p>
    <w:p w14:paraId="3ECE5A36">
      <w:pPr>
        <w:pStyle w:val="12"/>
        <w:jc w:val="both"/>
        <w:rPr>
          <w:rFonts w:ascii="宋体" w:hAnsi="宋体" w:eastAsia="宋体" w:cs="宋体"/>
          <w:sz w:val="21"/>
          <w:szCs w:val="21"/>
          <w:lang w:eastAsia="zh-CN"/>
        </w:rPr>
      </w:pPr>
      <w:r>
        <w:rPr>
          <w:rFonts w:ascii="宋体" w:hAnsi="宋体" w:eastAsia="宋体" w:cs="宋体"/>
          <w:sz w:val="21"/>
        </w:rPr>
        <w:t>地址：</w:t>
      </w:r>
    </w:p>
    <w:p w14:paraId="29335E1F">
      <w:pPr>
        <w:pStyle w:val="12"/>
        <w:jc w:val="both"/>
        <w:rPr>
          <w:rFonts w:ascii="宋体" w:hAnsi="宋体" w:eastAsia="宋体" w:cs="宋体"/>
          <w:sz w:val="21"/>
          <w:szCs w:val="21"/>
          <w:lang w:eastAsia="zh-CN"/>
        </w:rPr>
      </w:pPr>
    </w:p>
    <w:p w14:paraId="6358998C">
      <w:pPr>
        <w:pStyle w:val="12"/>
        <w:ind w:firstLine="480"/>
        <w:jc w:val="both"/>
        <w:rPr>
          <w:rFonts w:ascii="宋体" w:hAnsi="宋体" w:eastAsia="宋体" w:cs="宋体"/>
        </w:rPr>
      </w:pPr>
      <w:r>
        <w:rPr>
          <w:rFonts w:ascii="宋体" w:hAnsi="宋体" w:eastAsia="宋体" w:cs="宋体"/>
          <w:sz w:val="21"/>
        </w:rPr>
        <w:t>甲乙双方按照《中华人民共和国民法典》《中华人民共和国政府采购法》及其实施条例等有关法律法规的规定，依据招标文件、投标文件及澄清文件和中标通知书的要求，经双方协商一致，本着平等互利和诚实信用的原则，一致同意签订本合同如下。</w:t>
      </w:r>
    </w:p>
    <w:p w14:paraId="3C0FDBA4">
      <w:pPr>
        <w:pStyle w:val="12"/>
        <w:ind w:left="0"/>
        <w:jc w:val="both"/>
        <w:rPr>
          <w:rFonts w:ascii="宋体" w:hAnsi="宋体" w:eastAsia="宋体" w:cs="宋体"/>
        </w:rPr>
      </w:pPr>
      <w:r>
        <w:rPr>
          <w:rFonts w:ascii="宋体" w:hAnsi="宋体" w:eastAsia="宋体" w:cs="宋体"/>
          <w:b/>
          <w:sz w:val="21"/>
        </w:rPr>
        <w:t>一、项目概况</w:t>
      </w: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5"/>
        <w:gridCol w:w="4933"/>
        <w:gridCol w:w="1050"/>
        <w:gridCol w:w="1067"/>
      </w:tblGrid>
      <w:tr w14:paraId="7B5FC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05"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40A25007">
            <w:pPr>
              <w:pStyle w:val="12"/>
              <w:jc w:val="center"/>
              <w:rPr>
                <w:rFonts w:ascii="宋体" w:hAnsi="宋体" w:eastAsia="宋体" w:cs="宋体"/>
              </w:rPr>
            </w:pPr>
            <w:r>
              <w:rPr>
                <w:rFonts w:ascii="宋体" w:hAnsi="宋体" w:eastAsia="宋体" w:cs="宋体"/>
                <w:b/>
                <w:sz w:val="21"/>
              </w:rPr>
              <w:t>序号</w:t>
            </w:r>
          </w:p>
        </w:tc>
        <w:tc>
          <w:tcPr>
            <w:tcW w:w="493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0F39FE81">
            <w:pPr>
              <w:pStyle w:val="12"/>
              <w:jc w:val="center"/>
              <w:rPr>
                <w:rFonts w:ascii="宋体" w:hAnsi="宋体" w:eastAsia="宋体" w:cs="宋体"/>
              </w:rPr>
            </w:pPr>
            <w:r>
              <w:rPr>
                <w:rFonts w:ascii="宋体" w:hAnsi="宋体" w:eastAsia="宋体" w:cs="宋体"/>
                <w:b/>
                <w:sz w:val="21"/>
              </w:rPr>
              <w:t>名称</w:t>
            </w:r>
          </w:p>
        </w:tc>
        <w:tc>
          <w:tcPr>
            <w:tcW w:w="10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747A55F">
            <w:pPr>
              <w:pStyle w:val="12"/>
              <w:jc w:val="center"/>
              <w:rPr>
                <w:rFonts w:ascii="宋体" w:hAnsi="宋体" w:eastAsia="宋体" w:cs="宋体"/>
              </w:rPr>
            </w:pPr>
            <w:r>
              <w:rPr>
                <w:rFonts w:ascii="宋体" w:hAnsi="宋体" w:eastAsia="宋体" w:cs="宋体"/>
                <w:b/>
                <w:sz w:val="21"/>
              </w:rPr>
              <w:t>数量</w:t>
            </w:r>
          </w:p>
        </w:tc>
        <w:tc>
          <w:tcPr>
            <w:tcW w:w="106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A6EFF3">
            <w:pPr>
              <w:pStyle w:val="12"/>
              <w:jc w:val="center"/>
              <w:rPr>
                <w:rFonts w:ascii="宋体" w:hAnsi="宋体" w:eastAsia="宋体" w:cs="宋体"/>
              </w:rPr>
            </w:pPr>
            <w:r>
              <w:rPr>
                <w:rFonts w:ascii="宋体" w:hAnsi="宋体" w:eastAsia="宋体" w:cs="宋体"/>
                <w:b/>
                <w:sz w:val="21"/>
              </w:rPr>
              <w:t>单位</w:t>
            </w:r>
          </w:p>
        </w:tc>
      </w:tr>
      <w:tr w14:paraId="02468B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5"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EC6F26C">
            <w:pPr>
              <w:pStyle w:val="12"/>
              <w:jc w:val="center"/>
              <w:rPr>
                <w:rFonts w:ascii="宋体" w:hAnsi="宋体" w:eastAsia="宋体" w:cs="宋体"/>
              </w:rPr>
            </w:pPr>
            <w:r>
              <w:rPr>
                <w:rFonts w:ascii="宋体" w:hAnsi="宋体" w:eastAsia="宋体" w:cs="宋体"/>
                <w:sz w:val="21"/>
              </w:rPr>
              <w:t>1</w:t>
            </w:r>
          </w:p>
        </w:tc>
        <w:tc>
          <w:tcPr>
            <w:tcW w:w="4933"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8B9A8A9">
            <w:pPr>
              <w:pStyle w:val="12"/>
              <w:jc w:val="center"/>
              <w:rPr>
                <w:rFonts w:ascii="宋体" w:hAnsi="宋体" w:eastAsia="宋体" w:cs="宋体"/>
              </w:rPr>
            </w:pPr>
            <w:r>
              <w:rPr>
                <w:rFonts w:hint="eastAsia" w:ascii="宋体" w:hAnsi="宋体" w:eastAsia="宋体" w:cs="宋体"/>
                <w:sz w:val="21"/>
                <w:lang w:eastAsia="zh-CN"/>
              </w:rPr>
              <w:t>医养结合管理系统</w:t>
            </w:r>
          </w:p>
        </w:tc>
        <w:tc>
          <w:tcPr>
            <w:tcW w:w="1050"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A542495">
            <w:pPr>
              <w:pStyle w:val="12"/>
              <w:jc w:val="center"/>
              <w:rPr>
                <w:rFonts w:ascii="宋体" w:hAnsi="宋体" w:eastAsia="宋体" w:cs="宋体"/>
              </w:rPr>
            </w:pPr>
            <w:r>
              <w:rPr>
                <w:rFonts w:ascii="宋体" w:hAnsi="宋体" w:eastAsia="宋体" w:cs="宋体"/>
                <w:sz w:val="21"/>
              </w:rPr>
              <w:t>1</w:t>
            </w:r>
          </w:p>
        </w:tc>
        <w:tc>
          <w:tcPr>
            <w:tcW w:w="1067"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9220F51">
            <w:pPr>
              <w:pStyle w:val="12"/>
              <w:jc w:val="center"/>
              <w:rPr>
                <w:rFonts w:ascii="宋体" w:hAnsi="宋体" w:eastAsia="宋体" w:cs="宋体"/>
              </w:rPr>
            </w:pPr>
            <w:r>
              <w:rPr>
                <w:rFonts w:ascii="宋体" w:hAnsi="宋体" w:eastAsia="宋体" w:cs="宋体"/>
                <w:sz w:val="21"/>
              </w:rPr>
              <w:t>套</w:t>
            </w:r>
          </w:p>
        </w:tc>
      </w:tr>
    </w:tbl>
    <w:p w14:paraId="22B0B419">
      <w:pPr>
        <w:pStyle w:val="12"/>
        <w:jc w:val="both"/>
        <w:rPr>
          <w:rFonts w:ascii="宋体" w:hAnsi="宋体" w:eastAsia="宋体" w:cs="宋体"/>
        </w:rPr>
      </w:pPr>
      <w:r>
        <w:rPr>
          <w:rFonts w:ascii="宋体" w:hAnsi="宋体" w:eastAsia="宋体" w:cs="宋体"/>
          <w:b/>
          <w:sz w:val="21"/>
        </w:rPr>
        <w:t>二、合同金额</w:t>
      </w:r>
    </w:p>
    <w:p w14:paraId="59DCEB42">
      <w:pPr>
        <w:pStyle w:val="12"/>
        <w:ind w:firstLine="420"/>
        <w:jc w:val="both"/>
        <w:rPr>
          <w:rFonts w:ascii="宋体" w:hAnsi="宋体" w:eastAsia="宋体" w:cs="宋体"/>
          <w:sz w:val="21"/>
        </w:rPr>
      </w:pPr>
      <w:r>
        <w:rPr>
          <w:rFonts w:ascii="宋体" w:hAnsi="宋体" w:eastAsia="宋体" w:cs="宋体"/>
          <w:sz w:val="21"/>
        </w:rPr>
        <w:t>合同金额为（大写）：</w:t>
      </w:r>
      <w:r>
        <w:rPr>
          <w:rFonts w:hint="eastAsia" w:ascii="宋体" w:hAnsi="宋体" w:eastAsia="宋体" w:cs="宋体"/>
          <w:sz w:val="21"/>
          <w:u w:val="single"/>
          <w:lang w:val="en-US" w:eastAsia="zh-CN"/>
        </w:rPr>
        <w:t xml:space="preserve">     </w:t>
      </w:r>
      <w:r>
        <w:rPr>
          <w:rFonts w:ascii="宋体" w:hAnsi="宋体" w:eastAsia="宋体" w:cs="宋体"/>
          <w:sz w:val="21"/>
          <w:u w:val="none"/>
        </w:rPr>
        <w:t>元</w:t>
      </w:r>
      <w:r>
        <w:rPr>
          <w:rFonts w:ascii="宋体" w:hAnsi="宋体" w:eastAsia="宋体" w:cs="宋体"/>
          <w:sz w:val="21"/>
        </w:rPr>
        <w:t>（¥</w:t>
      </w:r>
      <w:r>
        <w:rPr>
          <w:rFonts w:ascii="宋体" w:hAnsi="宋体" w:eastAsia="宋体" w:cs="宋体"/>
          <w:b/>
          <w:sz w:val="21"/>
          <w:u w:val="single"/>
        </w:rPr>
        <w:t xml:space="preserve"> </w:t>
      </w:r>
      <w:r>
        <w:rPr>
          <w:rFonts w:hint="eastAsia" w:ascii="宋体" w:hAnsi="宋体" w:eastAsia="宋体" w:cs="宋体"/>
          <w:b/>
          <w:sz w:val="21"/>
          <w:u w:val="single"/>
          <w:lang w:val="en-US" w:eastAsia="zh-CN"/>
        </w:rPr>
        <w:t xml:space="preserve">  </w:t>
      </w:r>
      <w:r>
        <w:rPr>
          <w:rFonts w:ascii="宋体" w:hAnsi="宋体" w:eastAsia="宋体" w:cs="宋体"/>
          <w:sz w:val="21"/>
        </w:rPr>
        <w:t>元）人民币，合同金额包含完成本合同中要求的所有工作内容而发生的所有直接费用、间接费用和乙方要求获得的利润以及应由乙方承担的义务、责任和风险所发生的一切费用和赔偿。</w:t>
      </w:r>
      <w:r>
        <w:rPr>
          <w:rFonts w:ascii="宋体" w:hAnsi="宋体" w:eastAsia="宋体" w:cs="宋体"/>
          <w:sz w:val="21"/>
          <w:lang w:eastAsia="zh-CN"/>
        </w:rPr>
        <w:t>合同金额不包含第三方系统的接口费</w:t>
      </w:r>
      <w:r>
        <w:rPr>
          <w:rFonts w:ascii="宋体" w:hAnsi="宋体" w:eastAsia="宋体" w:cs="宋体"/>
          <w:sz w:val="21"/>
        </w:rPr>
        <w:t>。</w:t>
      </w:r>
    </w:p>
    <w:p w14:paraId="620E31CC">
      <w:pPr>
        <w:pStyle w:val="12"/>
        <w:jc w:val="both"/>
        <w:rPr>
          <w:rFonts w:hint="default"/>
        </w:rPr>
      </w:pPr>
      <w:r>
        <w:rPr>
          <w:b/>
          <w:sz w:val="21"/>
        </w:rPr>
        <w:t>三、合同履行期限：</w:t>
      </w:r>
    </w:p>
    <w:p w14:paraId="394689B2">
      <w:pPr>
        <w:pStyle w:val="12"/>
        <w:ind w:firstLine="420"/>
        <w:jc w:val="left"/>
        <w:rPr>
          <w:rFonts w:ascii="宋体" w:hAnsi="宋体" w:eastAsia="宋体" w:cs="宋体"/>
          <w:highlight w:val="none"/>
          <w:lang w:eastAsia="zh-CN"/>
        </w:rPr>
      </w:pPr>
      <w:r>
        <w:rPr>
          <w:rFonts w:hint="eastAsia"/>
          <w:sz w:val="21"/>
          <w:highlight w:val="none"/>
        </w:rPr>
        <w:t>签订合同后</w:t>
      </w:r>
      <w:r>
        <w:rPr>
          <w:rFonts w:hint="eastAsia"/>
          <w:sz w:val="21"/>
          <w:highlight w:val="none"/>
          <w:lang w:val="en-US" w:eastAsia="zh-CN"/>
        </w:rPr>
        <w:t>100</w:t>
      </w:r>
      <w:r>
        <w:rPr>
          <w:rFonts w:hint="eastAsia"/>
          <w:sz w:val="21"/>
          <w:highlight w:val="none"/>
        </w:rPr>
        <w:t>个日历日内完成系统安装、部署、培训工作。乙方完成项目实施，向甲方申请</w:t>
      </w:r>
      <w:r>
        <w:rPr>
          <w:rFonts w:hint="eastAsia"/>
          <w:sz w:val="21"/>
          <w:highlight w:val="none"/>
          <w:lang w:val="en-US" w:eastAsia="zh-CN"/>
        </w:rPr>
        <w:t>系统上线</w:t>
      </w:r>
      <w:r>
        <w:rPr>
          <w:rFonts w:hint="eastAsia"/>
          <w:sz w:val="21"/>
          <w:highlight w:val="none"/>
        </w:rPr>
        <w:t>，并出具《</w:t>
      </w:r>
      <w:r>
        <w:rPr>
          <w:rFonts w:hint="eastAsia"/>
          <w:sz w:val="21"/>
          <w:highlight w:val="none"/>
          <w:lang w:val="en-US" w:eastAsia="zh-CN"/>
        </w:rPr>
        <w:t>上线</w:t>
      </w:r>
      <w:r>
        <w:rPr>
          <w:rFonts w:hint="eastAsia"/>
          <w:sz w:val="21"/>
          <w:highlight w:val="none"/>
        </w:rPr>
        <w:t>报告》。系统</w:t>
      </w:r>
      <w:r>
        <w:rPr>
          <w:rFonts w:hint="eastAsia"/>
          <w:sz w:val="21"/>
          <w:highlight w:val="none"/>
          <w:lang w:val="en-US" w:eastAsia="zh-CN"/>
        </w:rPr>
        <w:t>上线后</w:t>
      </w:r>
      <w:r>
        <w:rPr>
          <w:rFonts w:hint="eastAsia"/>
          <w:sz w:val="21"/>
          <w:highlight w:val="none"/>
        </w:rPr>
        <w:t>运行</w:t>
      </w:r>
      <w:r>
        <w:rPr>
          <w:rFonts w:hint="eastAsia"/>
          <w:sz w:val="21"/>
          <w:highlight w:val="none"/>
          <w:lang w:val="en-US" w:eastAsia="zh-CN"/>
        </w:rPr>
        <w:t>30</w:t>
      </w:r>
      <w:r>
        <w:rPr>
          <w:rFonts w:hint="eastAsia"/>
          <w:sz w:val="21"/>
          <w:highlight w:val="none"/>
        </w:rPr>
        <w:t>个日历日且无系统/软件故障出现后，则由乙方向甲方申请验收，并出具《验收报告》。</w:t>
      </w:r>
    </w:p>
    <w:p w14:paraId="4B8FBF91">
      <w:pPr>
        <w:pStyle w:val="12"/>
        <w:jc w:val="both"/>
        <w:rPr>
          <w:rFonts w:ascii="宋体" w:hAnsi="宋体" w:eastAsia="宋体" w:cs="宋体"/>
          <w:highlight w:val="none"/>
        </w:rPr>
      </w:pPr>
      <w:r>
        <w:rPr>
          <w:rFonts w:ascii="宋体" w:hAnsi="宋体" w:eastAsia="宋体" w:cs="宋体"/>
          <w:b/>
          <w:sz w:val="21"/>
          <w:highlight w:val="none"/>
        </w:rPr>
        <w:t>四、服务内容</w:t>
      </w:r>
    </w:p>
    <w:p w14:paraId="2F7BF0ED">
      <w:pPr>
        <w:ind w:firstLine="422" w:firstLineChars="200"/>
        <w:rPr>
          <w:rFonts w:hint="eastAsia" w:ascii="宋体" w:hAnsi="宋体" w:eastAsia="宋体" w:cs="宋体"/>
          <w:b/>
          <w:lang w:eastAsia="zh-Hans"/>
        </w:rPr>
      </w:pPr>
      <w:r>
        <w:rPr>
          <w:rFonts w:hint="eastAsia" w:ascii="宋体" w:hAnsi="宋体" w:eastAsia="宋体" w:cs="宋体"/>
          <w:b/>
          <w:lang w:eastAsia="zh-Hans"/>
        </w:rPr>
        <w:t>（一）服务范围</w:t>
      </w:r>
    </w:p>
    <w:p w14:paraId="2F4242F6">
      <w:pPr>
        <w:ind w:firstLine="420" w:firstLineChars="200"/>
        <w:rPr>
          <w:rFonts w:hint="eastAsia" w:ascii="宋体" w:hAnsi="宋体" w:eastAsia="宋体" w:cs="宋体"/>
          <w:lang w:eastAsia="zh-Hans"/>
        </w:rPr>
      </w:pPr>
      <w:r>
        <w:rPr>
          <w:rFonts w:hint="eastAsia" w:ascii="宋体" w:hAnsi="宋体" w:eastAsia="宋体" w:cs="宋体"/>
          <w:lang w:eastAsia="zh-Hans"/>
        </w:rPr>
        <w:t>甲方聘请乙方提供以下服务：</w:t>
      </w:r>
    </w:p>
    <w:p w14:paraId="55BB8841">
      <w:pPr>
        <w:ind w:firstLine="480"/>
        <w:rPr>
          <w:rFonts w:hint="eastAsia" w:ascii="宋体" w:hAnsi="宋体" w:eastAsia="宋体" w:cs="宋体"/>
          <w:lang w:eastAsia="zh-Hans"/>
        </w:rPr>
      </w:pPr>
      <w:r>
        <w:rPr>
          <w:rFonts w:hint="eastAsia" w:ascii="宋体" w:hAnsi="宋体" w:eastAsia="宋体" w:cs="宋体"/>
          <w:lang w:eastAsia="zh-Hans"/>
        </w:rPr>
        <w:t>1.乙方为甲方提供及时高效的技术支持及操作指引，承担起甲方医养结合管理系统的</w:t>
      </w:r>
      <w:r>
        <w:rPr>
          <w:rFonts w:hint="eastAsia" w:ascii="宋体" w:hAnsi="宋体" w:eastAsia="宋体" w:cs="宋体"/>
          <w:lang w:eastAsia="zh"/>
        </w:rPr>
        <w:t>建设、</w:t>
      </w:r>
      <w:r>
        <w:rPr>
          <w:rFonts w:hint="eastAsia" w:ascii="宋体" w:hAnsi="宋体" w:eastAsia="宋体" w:cs="宋体"/>
          <w:lang w:eastAsia="zh-Hans"/>
        </w:rPr>
        <w:t>维护及技术支持工作。</w:t>
      </w:r>
    </w:p>
    <w:p w14:paraId="283B391C">
      <w:pPr>
        <w:ind w:firstLine="480"/>
        <w:rPr>
          <w:rFonts w:hint="eastAsia" w:ascii="宋体" w:hAnsi="宋体" w:eastAsia="宋体" w:cs="宋体"/>
          <w:lang w:eastAsia="zh-Hans"/>
        </w:rPr>
      </w:pPr>
      <w:r>
        <w:rPr>
          <w:rFonts w:hint="eastAsia" w:ascii="宋体" w:hAnsi="宋体" w:eastAsia="宋体" w:cs="宋体"/>
          <w:lang w:eastAsia="zh-Hans"/>
        </w:rPr>
        <w:t>2.乙方应熟悉甲方在用的各软件模块系统，保证甲方在用系统平稳运行。对系统在使用过程中发现的问题及时完成修复，系统使用过程中，因用户误操作等原因导致的数据错误，乙方应协助查明原因和进行数据修复。</w:t>
      </w:r>
    </w:p>
    <w:p w14:paraId="648C9318">
      <w:pPr>
        <w:pStyle w:val="12"/>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二</w:t>
      </w:r>
      <w:r>
        <w:rPr>
          <w:rFonts w:ascii="宋体" w:hAnsi="宋体" w:eastAsia="宋体" w:cs="宋体"/>
          <w:b/>
          <w:sz w:val="21"/>
        </w:rPr>
        <w:t>）售后服务要求：</w:t>
      </w:r>
    </w:p>
    <w:p w14:paraId="03F7B1C2">
      <w:pPr>
        <w:pStyle w:val="12"/>
        <w:ind w:firstLine="422"/>
        <w:rPr>
          <w:rFonts w:ascii="宋体" w:hAnsi="宋体" w:eastAsia="宋体" w:cs="宋体"/>
          <w:sz w:val="21"/>
          <w:highlight w:val="none"/>
        </w:rPr>
      </w:pPr>
      <w:r>
        <w:rPr>
          <w:rFonts w:ascii="宋体" w:hAnsi="宋体" w:eastAsia="宋体" w:cs="宋体"/>
          <w:sz w:val="21"/>
          <w:highlight w:val="none"/>
        </w:rPr>
        <w:t>1.质保期</w:t>
      </w:r>
      <w:r>
        <w:rPr>
          <w:rFonts w:hint="eastAsia" w:ascii="宋体" w:hAnsi="宋体" w:eastAsia="宋体" w:cs="宋体"/>
          <w:sz w:val="21"/>
          <w:highlight w:val="none"/>
          <w:lang w:val="en-US" w:eastAsia="zh-CN"/>
        </w:rPr>
        <w:t>1</w:t>
      </w:r>
      <w:r>
        <w:rPr>
          <w:rFonts w:ascii="宋体" w:hAnsi="宋体" w:eastAsia="宋体" w:cs="宋体"/>
          <w:sz w:val="21"/>
          <w:highlight w:val="none"/>
        </w:rPr>
        <w:t>年，</w:t>
      </w:r>
      <w:r>
        <w:rPr>
          <w:rFonts w:ascii="宋体" w:hAnsi="宋体" w:eastAsia="宋体" w:cs="宋体"/>
          <w:sz w:val="21"/>
          <w:highlight w:val="none"/>
          <w:lang w:eastAsia="zh"/>
        </w:rPr>
        <w:t>质保时间从系统完成最终验收时开始计算，</w:t>
      </w:r>
      <w:r>
        <w:rPr>
          <w:rFonts w:ascii="宋体" w:hAnsi="宋体" w:eastAsia="宋体" w:cs="宋体"/>
          <w:sz w:val="21"/>
          <w:highlight w:val="none"/>
        </w:rPr>
        <w:t>质保期内，乙方负责软件维护、更新升级。（费用包含</w:t>
      </w:r>
      <w:r>
        <w:rPr>
          <w:rFonts w:ascii="宋体" w:hAnsi="宋体" w:eastAsia="宋体" w:cs="宋体"/>
          <w:sz w:val="21"/>
          <w:highlight w:val="none"/>
          <w:lang w:eastAsia="zh-CN"/>
        </w:rPr>
        <w:t>在</w:t>
      </w:r>
      <w:r>
        <w:rPr>
          <w:rFonts w:ascii="宋体" w:hAnsi="宋体" w:eastAsia="宋体" w:cs="宋体"/>
          <w:sz w:val="21"/>
          <w:highlight w:val="none"/>
        </w:rPr>
        <w:t>合同金额中）</w:t>
      </w:r>
    </w:p>
    <w:p w14:paraId="14A43874">
      <w:pPr>
        <w:pStyle w:val="12"/>
        <w:ind w:firstLine="422"/>
        <w:rPr>
          <w:rFonts w:ascii="宋体" w:hAnsi="宋体" w:eastAsia="宋体" w:cs="宋体"/>
          <w:sz w:val="21"/>
        </w:rPr>
      </w:pPr>
      <w:r>
        <w:rPr>
          <w:rFonts w:ascii="宋体" w:hAnsi="宋体" w:eastAsia="宋体" w:cs="宋体"/>
          <w:sz w:val="21"/>
        </w:rPr>
        <w:t>2. 乙方应保证在接到用户方故障电话申报后2小时内响应，若电话远程解决不了，乙方须8小时内到达现场维护，及时做出故障原因报告并提出有效措施加以解决。</w:t>
      </w:r>
    </w:p>
    <w:p w14:paraId="2FB8A951">
      <w:pPr>
        <w:pStyle w:val="12"/>
        <w:ind w:firstLine="422"/>
        <w:rPr>
          <w:rFonts w:ascii="宋体" w:hAnsi="宋体" w:eastAsia="宋体" w:cs="宋体"/>
          <w:sz w:val="21"/>
        </w:rPr>
      </w:pPr>
      <w:r>
        <w:rPr>
          <w:rFonts w:ascii="宋体" w:hAnsi="宋体" w:eastAsia="宋体" w:cs="宋体"/>
          <w:sz w:val="21"/>
        </w:rPr>
        <w:t>3.本项目费用包含</w:t>
      </w:r>
      <w:r>
        <w:rPr>
          <w:rFonts w:ascii="宋体" w:hAnsi="宋体" w:eastAsia="宋体" w:cs="宋体"/>
          <w:sz w:val="21"/>
          <w:lang w:eastAsia="zh"/>
        </w:rPr>
        <w:t>系统建设、维护服务</w:t>
      </w:r>
      <w:r>
        <w:rPr>
          <w:rFonts w:ascii="宋体" w:hAnsi="宋体" w:eastAsia="宋体" w:cs="宋体"/>
          <w:sz w:val="21"/>
          <w:lang w:eastAsia="zh-CN"/>
        </w:rPr>
        <w:t>、</w:t>
      </w:r>
      <w:r>
        <w:rPr>
          <w:rFonts w:ascii="宋体" w:hAnsi="宋体" w:eastAsia="宋体" w:cs="宋体"/>
          <w:sz w:val="21"/>
        </w:rPr>
        <w:t>技术支持和售后服务</w:t>
      </w:r>
      <w:r>
        <w:rPr>
          <w:rFonts w:ascii="宋体" w:hAnsi="宋体" w:eastAsia="宋体" w:cs="宋体"/>
          <w:sz w:val="21"/>
          <w:lang w:eastAsia="zh-CN"/>
        </w:rPr>
        <w:t>，且上述费用均计</w:t>
      </w:r>
      <w:r>
        <w:rPr>
          <w:rFonts w:ascii="宋体" w:hAnsi="宋体" w:eastAsia="宋体" w:cs="宋体"/>
          <w:sz w:val="21"/>
        </w:rPr>
        <w:t>入合同金额。</w:t>
      </w:r>
    </w:p>
    <w:p w14:paraId="10A9FF9D">
      <w:pPr>
        <w:pStyle w:val="12"/>
        <w:ind w:firstLine="422"/>
        <w:rPr>
          <w:rFonts w:ascii="宋体" w:hAnsi="宋体" w:eastAsia="宋体" w:cs="宋体"/>
          <w:b/>
          <w:sz w:val="21"/>
          <w:lang w:eastAsia="zh-CN"/>
        </w:rPr>
      </w:pPr>
      <w:r>
        <w:rPr>
          <w:rFonts w:ascii="宋体" w:hAnsi="宋体" w:eastAsia="宋体" w:cs="宋体"/>
          <w:b/>
          <w:sz w:val="21"/>
          <w:lang w:eastAsia="zh-CN"/>
        </w:rPr>
        <w:t>（三）培训要求：</w:t>
      </w:r>
    </w:p>
    <w:p w14:paraId="4A560E08">
      <w:pPr>
        <w:pStyle w:val="12"/>
        <w:ind w:firstLine="420"/>
        <w:rPr>
          <w:rFonts w:ascii="宋体" w:hAnsi="宋体" w:eastAsia="宋体" w:cs="宋体"/>
          <w:sz w:val="21"/>
          <w:lang w:eastAsia="zh-CN"/>
        </w:rPr>
      </w:pPr>
      <w:r>
        <w:rPr>
          <w:rFonts w:ascii="宋体" w:hAnsi="宋体" w:eastAsia="宋体" w:cs="宋体"/>
          <w:sz w:val="21"/>
          <w:lang w:eastAsia="zh-CN"/>
        </w:rPr>
        <w:t>1.乙方须提供全面培训计划和课程内容安排，并在合同签订后征得甲方同意后实施。</w:t>
      </w:r>
    </w:p>
    <w:p w14:paraId="2C0EE806">
      <w:pPr>
        <w:pStyle w:val="12"/>
        <w:ind w:firstLine="420"/>
        <w:rPr>
          <w:rFonts w:ascii="宋体" w:hAnsi="宋体" w:eastAsia="宋体" w:cs="宋体"/>
          <w:sz w:val="21"/>
          <w:lang w:eastAsia="zh-CN"/>
        </w:rPr>
      </w:pPr>
      <w:r>
        <w:rPr>
          <w:rFonts w:ascii="宋体" w:hAnsi="宋体" w:eastAsia="宋体" w:cs="宋体"/>
          <w:sz w:val="21"/>
          <w:lang w:eastAsia="zh-CN"/>
        </w:rPr>
        <w:t>2.乙方须提供高水平的培训。培训地点、人数、天数，由乙方列出具体计划并安排实施。</w:t>
      </w:r>
    </w:p>
    <w:p w14:paraId="5C9945DD">
      <w:pPr>
        <w:pStyle w:val="12"/>
        <w:ind w:firstLine="420"/>
        <w:rPr>
          <w:rFonts w:ascii="宋体" w:hAnsi="宋体" w:eastAsia="宋体" w:cs="宋体"/>
          <w:sz w:val="21"/>
          <w:lang w:eastAsia="zh-CN"/>
        </w:rPr>
      </w:pPr>
      <w:r>
        <w:rPr>
          <w:rFonts w:ascii="宋体" w:hAnsi="宋体" w:eastAsia="宋体" w:cs="宋体"/>
          <w:sz w:val="21"/>
          <w:lang w:eastAsia="zh-CN"/>
        </w:rPr>
        <w:t>3.培训应包括常见故障现象及诊断、常见的问题及解决办法、操作系统软件、系统管理等。</w:t>
      </w:r>
    </w:p>
    <w:p w14:paraId="35728F13">
      <w:pPr>
        <w:pStyle w:val="12"/>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四</w:t>
      </w:r>
      <w:r>
        <w:rPr>
          <w:rFonts w:ascii="宋体" w:hAnsi="宋体" w:eastAsia="宋体" w:cs="宋体"/>
          <w:b/>
          <w:sz w:val="21"/>
        </w:rPr>
        <w:t>）知识产权要求：</w:t>
      </w:r>
    </w:p>
    <w:p w14:paraId="3000FF91">
      <w:pPr>
        <w:pStyle w:val="12"/>
        <w:ind w:firstLine="420"/>
        <w:rPr>
          <w:rFonts w:ascii="宋体" w:hAnsi="宋体" w:eastAsia="宋体" w:cs="宋体"/>
          <w:sz w:val="21"/>
        </w:rPr>
      </w:pPr>
      <w:r>
        <w:rPr>
          <w:rFonts w:ascii="宋体" w:hAnsi="宋体" w:eastAsia="宋体" w:cs="宋体"/>
          <w:sz w:val="21"/>
        </w:rPr>
        <w:t>1.乙方向甲方提供软件服务过程中产生的知识产权归属甲方。</w:t>
      </w:r>
    </w:p>
    <w:p w14:paraId="5C8CE943">
      <w:pPr>
        <w:pStyle w:val="12"/>
        <w:ind w:firstLine="420"/>
        <w:rPr>
          <w:rFonts w:ascii="宋体" w:hAnsi="宋体" w:eastAsia="宋体" w:cs="宋体"/>
        </w:rPr>
      </w:pPr>
      <w:r>
        <w:rPr>
          <w:rFonts w:ascii="宋体" w:hAnsi="宋体" w:eastAsia="宋体" w:cs="宋体"/>
          <w:sz w:val="21"/>
        </w:rPr>
        <w:t>2.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给甲方造成任何损失的，乙方需要负责全部赔偿。</w:t>
      </w:r>
    </w:p>
    <w:p w14:paraId="4E29F9FC">
      <w:pPr>
        <w:pStyle w:val="12"/>
        <w:ind w:firstLine="422"/>
        <w:rPr>
          <w:rFonts w:ascii="宋体" w:hAnsi="宋体" w:eastAsia="宋体" w:cs="宋体"/>
        </w:rPr>
      </w:pPr>
      <w:r>
        <w:rPr>
          <w:rFonts w:ascii="宋体" w:hAnsi="宋体" w:eastAsia="宋体" w:cs="宋体"/>
          <w:b/>
          <w:sz w:val="21"/>
        </w:rPr>
        <w:t>（</w:t>
      </w:r>
      <w:r>
        <w:rPr>
          <w:rFonts w:ascii="宋体" w:hAnsi="宋体" w:eastAsia="宋体" w:cs="宋体"/>
          <w:b/>
          <w:sz w:val="21"/>
          <w:lang w:eastAsia="zh-CN"/>
        </w:rPr>
        <w:t>五</w:t>
      </w:r>
      <w:r>
        <w:rPr>
          <w:rFonts w:ascii="宋体" w:hAnsi="宋体" w:eastAsia="宋体" w:cs="宋体"/>
          <w:b/>
          <w:sz w:val="21"/>
        </w:rPr>
        <w:t>）保密要求</w:t>
      </w:r>
    </w:p>
    <w:p w14:paraId="27E1638B">
      <w:pPr>
        <w:pStyle w:val="12"/>
        <w:ind w:firstLine="420"/>
        <w:rPr>
          <w:rFonts w:ascii="宋体" w:hAnsi="宋体" w:eastAsia="宋体" w:cs="宋体"/>
        </w:rPr>
      </w:pPr>
      <w:r>
        <w:rPr>
          <w:rFonts w:ascii="宋体" w:hAnsi="宋体" w:eastAsia="宋体" w:cs="宋体"/>
          <w:sz w:val="21"/>
        </w:rPr>
        <w:t>凡涉及招标及合同中的采购项目的有关信息和内容，乙方及其工作人员不得用于甲方之外的第三方，给甲方或患者（及其家属）造成任何损失或伤害，乙方应承担相应的民事责任，同时甲方有权进一步追究乙方责任的权利。</w:t>
      </w:r>
    </w:p>
    <w:p w14:paraId="67DC543C">
      <w:pPr>
        <w:pStyle w:val="12"/>
        <w:ind w:left="0"/>
        <w:rPr>
          <w:rFonts w:ascii="宋体" w:hAnsi="宋体" w:eastAsia="宋体" w:cs="宋体"/>
        </w:rPr>
      </w:pPr>
      <w:r>
        <w:rPr>
          <w:rFonts w:ascii="宋体" w:hAnsi="宋体" w:eastAsia="宋体" w:cs="宋体"/>
          <w:b/>
          <w:sz w:val="21"/>
        </w:rPr>
        <w:t>五、付款方式及履约保证金</w:t>
      </w:r>
    </w:p>
    <w:p w14:paraId="01493A93">
      <w:pPr>
        <w:pStyle w:val="12"/>
        <w:ind w:firstLine="422"/>
        <w:rPr>
          <w:rFonts w:ascii="宋体" w:hAnsi="宋体" w:eastAsia="宋体" w:cs="宋体"/>
          <w:highlight w:val="none"/>
        </w:rPr>
      </w:pPr>
      <w:r>
        <w:rPr>
          <w:rFonts w:ascii="宋体" w:hAnsi="宋体" w:eastAsia="宋体" w:cs="宋体"/>
          <w:b/>
          <w:sz w:val="21"/>
          <w:highlight w:val="none"/>
        </w:rPr>
        <w:t>（一）付款方式</w:t>
      </w:r>
    </w:p>
    <w:p w14:paraId="38D727AE">
      <w:pPr>
        <w:pStyle w:val="12"/>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1.</w:t>
      </w:r>
      <w:r>
        <w:rPr>
          <w:rFonts w:hint="eastAsia" w:ascii="宋体" w:hAnsi="宋体" w:eastAsia="宋体" w:cs="宋体"/>
          <w:sz w:val="21"/>
          <w:highlight w:val="none"/>
        </w:rPr>
        <w:t>预付款：合同签订后5个工作日内，甲方向乙方支付合同价的30%；办理付款前乙方需提供：</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1</w:t>
      </w:r>
      <w:r>
        <w:rPr>
          <w:rFonts w:hint="eastAsia" w:ascii="宋体" w:hAnsi="宋体" w:eastAsia="宋体" w:cs="宋体"/>
          <w:sz w:val="21"/>
          <w:highlight w:val="none"/>
          <w:lang w:eastAsia="zh-CN"/>
        </w:rPr>
        <w:t>）</w:t>
      </w:r>
      <w:r>
        <w:rPr>
          <w:rFonts w:hint="eastAsia" w:ascii="宋体" w:hAnsi="宋体" w:eastAsia="宋体" w:cs="宋体"/>
          <w:sz w:val="21"/>
          <w:highlight w:val="none"/>
        </w:rPr>
        <w:t>中标通知书；</w:t>
      </w:r>
      <w:r>
        <w:rPr>
          <w:rFonts w:hint="eastAsia" w:ascii="宋体" w:hAnsi="宋体" w:eastAsia="宋体" w:cs="宋体"/>
          <w:sz w:val="21"/>
          <w:highlight w:val="none"/>
          <w:lang w:eastAsia="zh-CN"/>
        </w:rPr>
        <w:t>（</w:t>
      </w:r>
      <w:r>
        <w:rPr>
          <w:rFonts w:hint="eastAsia" w:ascii="宋体" w:hAnsi="宋体" w:eastAsia="宋体" w:cs="宋体"/>
          <w:sz w:val="21"/>
          <w:highlight w:val="none"/>
          <w:lang w:val="en-US" w:eastAsia="zh-CN"/>
        </w:rPr>
        <w:t>2</w:t>
      </w:r>
      <w:r>
        <w:rPr>
          <w:rFonts w:hint="eastAsia" w:ascii="宋体" w:hAnsi="宋体" w:eastAsia="宋体" w:cs="宋体"/>
          <w:sz w:val="21"/>
          <w:highlight w:val="none"/>
          <w:lang w:eastAsia="zh-CN"/>
        </w:rPr>
        <w:t>）</w:t>
      </w:r>
      <w:r>
        <w:rPr>
          <w:rFonts w:hint="eastAsia" w:ascii="宋体" w:hAnsi="宋体" w:eastAsia="宋体" w:cs="宋体"/>
          <w:sz w:val="21"/>
          <w:highlight w:val="none"/>
        </w:rPr>
        <w:t>合法有效的等额发票。</w:t>
      </w:r>
    </w:p>
    <w:p w14:paraId="07ACFE95">
      <w:pPr>
        <w:pStyle w:val="12"/>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2.上线款：</w:t>
      </w:r>
      <w:r>
        <w:rPr>
          <w:rFonts w:hint="eastAsia" w:ascii="宋体" w:hAnsi="宋体" w:eastAsia="宋体" w:cs="宋体"/>
          <w:sz w:val="21"/>
          <w:highlight w:val="none"/>
        </w:rPr>
        <w:t>系统上线后，乙方提交上线报告，甲方向乙方支付合同总价的30%为项目上线款。</w:t>
      </w:r>
    </w:p>
    <w:p w14:paraId="6E4D1063">
      <w:pPr>
        <w:pStyle w:val="12"/>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3.</w:t>
      </w:r>
      <w:r>
        <w:rPr>
          <w:rFonts w:hint="eastAsia" w:ascii="宋体" w:hAnsi="宋体" w:eastAsia="宋体" w:cs="宋体"/>
          <w:sz w:val="21"/>
          <w:highlight w:val="none"/>
        </w:rPr>
        <w:t>验收：</w:t>
      </w:r>
      <w:r>
        <w:rPr>
          <w:rFonts w:hint="eastAsia"/>
          <w:sz w:val="21"/>
          <w:highlight w:val="none"/>
        </w:rPr>
        <w:t>系统</w:t>
      </w:r>
      <w:r>
        <w:rPr>
          <w:rFonts w:hint="eastAsia"/>
          <w:sz w:val="21"/>
          <w:highlight w:val="none"/>
          <w:lang w:val="en-US" w:eastAsia="zh-CN"/>
        </w:rPr>
        <w:t>上线后</w:t>
      </w:r>
      <w:r>
        <w:rPr>
          <w:rFonts w:hint="eastAsia"/>
          <w:sz w:val="21"/>
          <w:highlight w:val="none"/>
        </w:rPr>
        <w:t>运行</w:t>
      </w:r>
      <w:r>
        <w:rPr>
          <w:rFonts w:hint="eastAsia"/>
          <w:sz w:val="21"/>
          <w:highlight w:val="none"/>
          <w:lang w:val="en-US" w:eastAsia="zh-CN"/>
        </w:rPr>
        <w:t>30</w:t>
      </w:r>
      <w:r>
        <w:rPr>
          <w:rFonts w:hint="eastAsia"/>
          <w:sz w:val="21"/>
          <w:highlight w:val="none"/>
        </w:rPr>
        <w:t>个日历日且无系统/软件故障出现后，则由乙方向甲方申请验收，并出具《验收报告》</w:t>
      </w:r>
      <w:r>
        <w:rPr>
          <w:rFonts w:hint="eastAsia" w:ascii="宋体" w:hAnsi="宋体" w:eastAsia="宋体" w:cs="宋体"/>
          <w:sz w:val="21"/>
          <w:highlight w:val="none"/>
        </w:rPr>
        <w:t>，经过甲方和乙方双方签订验收报告后，甲方向乙方支付合同总价的</w:t>
      </w:r>
      <w:r>
        <w:rPr>
          <w:rFonts w:hint="eastAsia" w:ascii="宋体" w:hAnsi="宋体" w:eastAsia="宋体" w:cs="宋体"/>
          <w:sz w:val="21"/>
          <w:highlight w:val="none"/>
          <w:lang w:val="en-US" w:eastAsia="zh-CN"/>
        </w:rPr>
        <w:t>4</w:t>
      </w:r>
      <w:r>
        <w:rPr>
          <w:rFonts w:hint="eastAsia" w:ascii="宋体" w:hAnsi="宋体" w:eastAsia="宋体" w:cs="宋体"/>
          <w:sz w:val="21"/>
          <w:highlight w:val="none"/>
        </w:rPr>
        <w:t>0%为项目验收款。</w:t>
      </w:r>
    </w:p>
    <w:p w14:paraId="411205B0">
      <w:pPr>
        <w:pStyle w:val="12"/>
        <w:ind w:firstLine="420"/>
        <w:rPr>
          <w:rFonts w:hint="eastAsia" w:ascii="宋体" w:hAnsi="宋体" w:eastAsia="宋体" w:cs="宋体"/>
          <w:sz w:val="21"/>
          <w:highlight w:val="none"/>
        </w:rPr>
      </w:pPr>
      <w:r>
        <w:rPr>
          <w:rFonts w:hint="eastAsia" w:ascii="宋体" w:hAnsi="宋体" w:eastAsia="宋体" w:cs="宋体"/>
          <w:sz w:val="21"/>
          <w:highlight w:val="none"/>
          <w:lang w:val="en-US" w:eastAsia="zh-CN"/>
        </w:rPr>
        <w:t>4.</w:t>
      </w:r>
      <w:r>
        <w:rPr>
          <w:rFonts w:hint="eastAsia" w:ascii="宋体" w:hAnsi="宋体" w:eastAsia="宋体" w:cs="宋体"/>
          <w:sz w:val="21"/>
          <w:highlight w:val="none"/>
        </w:rPr>
        <w:t>付款时间为甲方向政府采购支付部门提出支付申请的时间（不含政府财政支付部门审查的时间），甲方向政府采购支付提出支付申请即视为甲方已履行付款义务。</w:t>
      </w:r>
    </w:p>
    <w:p w14:paraId="02993CCA">
      <w:pPr>
        <w:pStyle w:val="12"/>
        <w:ind w:firstLine="420"/>
        <w:rPr>
          <w:rFonts w:ascii="宋体" w:hAnsi="宋体" w:eastAsia="宋体" w:cs="宋体"/>
          <w:highlight w:val="none"/>
        </w:rPr>
      </w:pPr>
      <w:r>
        <w:rPr>
          <w:rFonts w:hint="eastAsia" w:ascii="宋体" w:hAnsi="宋体" w:eastAsia="宋体" w:cs="宋体"/>
          <w:sz w:val="21"/>
          <w:highlight w:val="none"/>
          <w:lang w:val="en-US" w:eastAsia="zh-CN"/>
        </w:rPr>
        <w:t>5.</w:t>
      </w:r>
      <w:r>
        <w:rPr>
          <w:rFonts w:hint="eastAsia" w:ascii="宋体" w:hAnsi="宋体" w:eastAsia="宋体" w:cs="宋体"/>
          <w:sz w:val="21"/>
          <w:highlight w:val="none"/>
        </w:rPr>
        <w:t>每次货款结算前，乙方需提供符合国家有关财税规定的等额发票。合同款包含项目实施过程的所有含税费用、首次计量或校准费用（如有）。</w:t>
      </w:r>
      <w:r>
        <w:rPr>
          <w:rFonts w:ascii="宋体" w:hAnsi="宋体" w:eastAsia="宋体" w:cs="宋体"/>
          <w:highlight w:val="none"/>
        </w:rPr>
        <w:br w:type="textWrapping"/>
      </w:r>
      <w:r>
        <w:rPr>
          <w:rFonts w:ascii="宋体" w:hAnsi="宋体" w:eastAsia="宋体" w:cs="宋体"/>
          <w:b/>
          <w:sz w:val="21"/>
          <w:highlight w:val="none"/>
        </w:rPr>
        <w:t xml:space="preserve">    （二）履约保证金</w:t>
      </w:r>
    </w:p>
    <w:p w14:paraId="2DD45A3B">
      <w:pPr>
        <w:pStyle w:val="12"/>
        <w:ind w:firstLine="420"/>
        <w:jc w:val="both"/>
        <w:rPr>
          <w:rFonts w:ascii="宋体" w:hAnsi="宋体" w:eastAsia="宋体" w:cs="宋体"/>
        </w:rPr>
      </w:pPr>
      <w:r>
        <w:rPr>
          <w:rFonts w:ascii="宋体" w:hAnsi="宋体" w:eastAsia="宋体" w:cs="宋体"/>
          <w:sz w:val="21"/>
        </w:rPr>
        <w:t>收取比例：5%，说明：</w:t>
      </w:r>
    </w:p>
    <w:p w14:paraId="18757F4C">
      <w:pPr>
        <w:pStyle w:val="12"/>
        <w:ind w:firstLine="420"/>
        <w:jc w:val="both"/>
        <w:rPr>
          <w:rFonts w:ascii="宋体" w:hAnsi="宋体" w:eastAsia="宋体" w:cs="宋体"/>
        </w:rPr>
      </w:pPr>
      <w:r>
        <w:rPr>
          <w:rFonts w:ascii="宋体" w:hAnsi="宋体" w:eastAsia="宋体" w:cs="宋体"/>
          <w:sz w:val="21"/>
        </w:rPr>
        <w:t>合同签订后五个工作日内，乙方按合同总价的</w:t>
      </w:r>
      <w:r>
        <w:rPr>
          <w:rFonts w:ascii="宋体" w:hAnsi="宋体" w:eastAsia="宋体" w:cs="宋体"/>
          <w:sz w:val="21"/>
          <w:u w:val="single"/>
        </w:rPr>
        <w:t>5</w:t>
      </w:r>
      <w:r>
        <w:rPr>
          <w:rFonts w:ascii="宋体" w:hAnsi="宋体" w:eastAsia="宋体" w:cs="宋体"/>
          <w:sz w:val="21"/>
        </w:rPr>
        <w:t>%交付履约保证金给甲方，以</w:t>
      </w:r>
      <w:r>
        <w:rPr>
          <w:rFonts w:ascii="宋体" w:hAnsi="宋体" w:eastAsia="宋体" w:cs="宋体"/>
          <w:sz w:val="21"/>
          <w:lang w:eastAsia="zh-CN"/>
        </w:rPr>
        <w:t>银行转账</w:t>
      </w:r>
      <w:r>
        <w:rPr>
          <w:rFonts w:ascii="宋体" w:hAnsi="宋体" w:eastAsia="宋体" w:cs="宋体"/>
          <w:sz w:val="21"/>
        </w:rPr>
        <w:t>形式缴纳或提交。符合以下任一情形均可退还履约保证金或履约保函自动失效：（1）乙方完成交付义务并通过甲方验收的，无违约行为且无未结款项(包括但不限于违约金、赔偿金等)的，乙方提出书面申请后，甲方于60天内无息返还履约保证金；（2）乙方出具与设备（软件系统）原厂家针对医院本项目采购的设备（软件系统）质保要求相应年限（投标文件优于采购文件要求的按其提供）的质保合同后亦可退还，如为设备（软件系统）原厂家投标则按第（1）项要求退还履约保证金。合同履行期内乙方违约退出的，或擅自中止履行合同超过15天或解除合同的，或因乙方原因导致甲方解除合同的，其履约保证金不予退回，且甲方无需承担任何责任。</w:t>
      </w:r>
    </w:p>
    <w:p w14:paraId="6D86B1F3">
      <w:pPr>
        <w:pStyle w:val="12"/>
        <w:ind w:firstLine="420"/>
        <w:jc w:val="both"/>
        <w:rPr>
          <w:rFonts w:ascii="宋体" w:hAnsi="宋体" w:eastAsia="宋体" w:cs="宋体"/>
        </w:rPr>
      </w:pPr>
      <w:r>
        <w:rPr>
          <w:rFonts w:ascii="宋体" w:hAnsi="宋体" w:eastAsia="宋体" w:cs="宋体"/>
          <w:sz w:val="21"/>
        </w:rPr>
        <w:t>收取履约保证金方与甲方一致，专户为：</w:t>
      </w:r>
    </w:p>
    <w:p w14:paraId="68895815">
      <w:pPr>
        <w:pStyle w:val="12"/>
        <w:ind w:firstLine="420"/>
        <w:jc w:val="both"/>
        <w:rPr>
          <w:rFonts w:ascii="宋体" w:hAnsi="宋体" w:eastAsia="宋体" w:cs="宋体"/>
        </w:rPr>
      </w:pPr>
      <w:r>
        <w:rPr>
          <w:rFonts w:ascii="宋体" w:hAnsi="宋体" w:eastAsia="宋体" w:cs="宋体"/>
          <w:sz w:val="21"/>
        </w:rPr>
        <w:t>开户名称：广东省第一荣军优抚医院</w:t>
      </w:r>
    </w:p>
    <w:p w14:paraId="3FA612F8">
      <w:pPr>
        <w:pStyle w:val="12"/>
        <w:ind w:firstLine="420"/>
        <w:jc w:val="both"/>
        <w:rPr>
          <w:rFonts w:ascii="宋体" w:hAnsi="宋体" w:eastAsia="宋体" w:cs="宋体"/>
        </w:rPr>
      </w:pPr>
      <w:r>
        <w:rPr>
          <w:rFonts w:ascii="宋体" w:hAnsi="宋体" w:eastAsia="宋体" w:cs="宋体"/>
          <w:sz w:val="21"/>
        </w:rPr>
        <w:t>银行账号：3602000309000415320</w:t>
      </w:r>
    </w:p>
    <w:p w14:paraId="2F4613A8">
      <w:pPr>
        <w:pStyle w:val="12"/>
        <w:ind w:firstLine="420"/>
        <w:jc w:val="both"/>
        <w:rPr>
          <w:rFonts w:ascii="宋体" w:hAnsi="宋体" w:eastAsia="宋体" w:cs="宋体"/>
        </w:rPr>
      </w:pPr>
      <w:r>
        <w:rPr>
          <w:rFonts w:ascii="宋体" w:hAnsi="宋体" w:eastAsia="宋体" w:cs="宋体"/>
          <w:sz w:val="21"/>
        </w:rPr>
        <w:t>开户行：工商银行广州怡乐支行</w:t>
      </w:r>
    </w:p>
    <w:p w14:paraId="175C8F10">
      <w:pPr>
        <w:pStyle w:val="12"/>
        <w:ind w:firstLine="0"/>
        <w:jc w:val="both"/>
        <w:rPr>
          <w:rFonts w:ascii="宋体" w:hAnsi="宋体" w:eastAsia="宋体" w:cs="宋体"/>
        </w:rPr>
      </w:pPr>
      <w:r>
        <w:rPr>
          <w:rFonts w:ascii="宋体" w:hAnsi="宋体" w:eastAsia="宋体" w:cs="宋体"/>
          <w:b/>
          <w:sz w:val="21"/>
        </w:rPr>
        <w:t>六、不可抗力</w:t>
      </w:r>
    </w:p>
    <w:p w14:paraId="540ACD27">
      <w:pPr>
        <w:pStyle w:val="12"/>
        <w:ind w:firstLine="420"/>
        <w:jc w:val="both"/>
        <w:rPr>
          <w:rFonts w:ascii="宋体" w:hAnsi="宋体" w:eastAsia="宋体" w:cs="宋体"/>
        </w:rPr>
      </w:pPr>
      <w:r>
        <w:rPr>
          <w:rFonts w:ascii="宋体" w:hAnsi="宋体" w:eastAsia="宋体" w:cs="宋体"/>
          <w:sz w:val="21"/>
        </w:rPr>
        <w:t>1.不可抗力指战争、严重火灾、洪水、台风、地震等或其它双方认定的不可抗力事件。</w:t>
      </w:r>
    </w:p>
    <w:p w14:paraId="6CD50C51">
      <w:pPr>
        <w:pStyle w:val="12"/>
        <w:ind w:firstLine="420"/>
        <w:jc w:val="both"/>
        <w:rPr>
          <w:rFonts w:ascii="宋体" w:hAnsi="宋体" w:eastAsia="宋体" w:cs="宋体"/>
        </w:rPr>
      </w:pPr>
      <w:r>
        <w:rPr>
          <w:rFonts w:ascii="宋体" w:hAnsi="宋体" w:eastAsia="宋体" w:cs="宋体"/>
          <w:sz w:val="21"/>
        </w:rPr>
        <w:t>2.签约双方中任何一方由于不可抗力影响合同执行时，发生不可抗力一方应尽快将事故通知另一方。在此情况下，乙方仍然有责任采取必要的措施加速供货，双方应通过友好协商尽快解决本合同的执行问题。</w:t>
      </w:r>
    </w:p>
    <w:p w14:paraId="5105B554">
      <w:pPr>
        <w:pStyle w:val="12"/>
        <w:ind w:firstLine="0"/>
        <w:jc w:val="both"/>
        <w:rPr>
          <w:rFonts w:ascii="宋体" w:hAnsi="宋体" w:eastAsia="宋体" w:cs="宋体"/>
        </w:rPr>
      </w:pPr>
      <w:r>
        <w:rPr>
          <w:rFonts w:ascii="宋体" w:hAnsi="宋体" w:eastAsia="宋体" w:cs="宋体"/>
          <w:b/>
          <w:sz w:val="21"/>
          <w:lang w:eastAsia="zh-CN"/>
        </w:rPr>
        <w:t>七</w:t>
      </w:r>
      <w:r>
        <w:rPr>
          <w:rFonts w:ascii="宋体" w:hAnsi="宋体" w:eastAsia="宋体" w:cs="宋体"/>
          <w:b/>
          <w:sz w:val="21"/>
        </w:rPr>
        <w:t>、双方权利义务</w:t>
      </w:r>
    </w:p>
    <w:p w14:paraId="74E34165">
      <w:pPr>
        <w:pStyle w:val="12"/>
        <w:ind w:firstLine="420" w:firstLineChars="200"/>
        <w:rPr>
          <w:rFonts w:ascii="宋体" w:hAnsi="宋体" w:eastAsia="宋体" w:cs="宋体"/>
          <w:sz w:val="21"/>
        </w:rPr>
      </w:pPr>
      <w:r>
        <w:rPr>
          <w:rFonts w:ascii="宋体" w:hAnsi="宋体" w:eastAsia="宋体" w:cs="宋体"/>
          <w:sz w:val="21"/>
        </w:rPr>
        <w:t>1.甲方的权利和义务</w:t>
      </w:r>
    </w:p>
    <w:p w14:paraId="2AD4CE5C">
      <w:pPr>
        <w:pStyle w:val="12"/>
        <w:ind w:firstLine="420" w:firstLineChars="200"/>
        <w:rPr>
          <w:rFonts w:ascii="宋体" w:hAnsi="宋体" w:eastAsia="宋体" w:cs="宋体"/>
          <w:sz w:val="21"/>
        </w:rPr>
      </w:pPr>
      <w:r>
        <w:rPr>
          <w:rFonts w:ascii="宋体" w:hAnsi="宋体" w:eastAsia="宋体" w:cs="宋体"/>
          <w:sz w:val="21"/>
        </w:rPr>
        <w:t>（1）维护、行使甲方的合法权益；</w:t>
      </w:r>
    </w:p>
    <w:p w14:paraId="00282358">
      <w:pPr>
        <w:pStyle w:val="12"/>
        <w:ind w:firstLine="420" w:firstLineChars="200"/>
        <w:rPr>
          <w:rFonts w:ascii="宋体" w:hAnsi="宋体" w:eastAsia="宋体" w:cs="宋体"/>
          <w:sz w:val="21"/>
        </w:rPr>
      </w:pPr>
      <w:r>
        <w:rPr>
          <w:rFonts w:ascii="宋体" w:hAnsi="宋体" w:eastAsia="宋体" w:cs="宋体"/>
          <w:sz w:val="21"/>
        </w:rPr>
        <w:t>（2）审定乙方提供的工作成果，并提出合理化建议，督促乙方完善不足之处等；</w:t>
      </w:r>
    </w:p>
    <w:p w14:paraId="5CA2FA64">
      <w:pPr>
        <w:pStyle w:val="12"/>
        <w:ind w:firstLine="420" w:firstLineChars="200"/>
        <w:rPr>
          <w:rFonts w:ascii="宋体" w:hAnsi="宋体" w:eastAsia="宋体" w:cs="宋体"/>
          <w:sz w:val="21"/>
        </w:rPr>
      </w:pPr>
      <w:r>
        <w:rPr>
          <w:rFonts w:ascii="宋体" w:hAnsi="宋体" w:eastAsia="宋体" w:cs="宋体"/>
          <w:sz w:val="21"/>
        </w:rPr>
        <w:t>（3）检查监督乙方工作的实施及执行情况；</w:t>
      </w:r>
    </w:p>
    <w:p w14:paraId="0AF09735">
      <w:pPr>
        <w:pStyle w:val="12"/>
        <w:ind w:firstLine="420" w:firstLineChars="200"/>
        <w:rPr>
          <w:rFonts w:ascii="宋体" w:hAnsi="宋体" w:eastAsia="宋体" w:cs="宋体"/>
          <w:sz w:val="21"/>
        </w:rPr>
      </w:pPr>
      <w:r>
        <w:rPr>
          <w:rFonts w:ascii="宋体" w:hAnsi="宋体" w:eastAsia="宋体" w:cs="宋体"/>
          <w:sz w:val="21"/>
        </w:rPr>
        <w:t>（4）为乙方完成相关工作提供必要的资料；</w:t>
      </w:r>
    </w:p>
    <w:p w14:paraId="32621E6B">
      <w:pPr>
        <w:pStyle w:val="12"/>
        <w:ind w:firstLine="420" w:firstLineChars="200"/>
        <w:rPr>
          <w:rFonts w:ascii="宋体" w:hAnsi="宋体" w:eastAsia="宋体" w:cs="宋体"/>
          <w:sz w:val="21"/>
        </w:rPr>
      </w:pPr>
      <w:r>
        <w:rPr>
          <w:rFonts w:ascii="宋体" w:hAnsi="宋体" w:eastAsia="宋体" w:cs="宋体"/>
          <w:sz w:val="21"/>
        </w:rPr>
        <w:t>（5）按合同约定支付服务费给乙方。</w:t>
      </w:r>
    </w:p>
    <w:p w14:paraId="15B44E8A">
      <w:pPr>
        <w:pStyle w:val="12"/>
        <w:ind w:firstLine="420" w:firstLineChars="200"/>
        <w:rPr>
          <w:rFonts w:ascii="宋体" w:hAnsi="宋体" w:eastAsia="宋体" w:cs="宋体"/>
          <w:sz w:val="21"/>
        </w:rPr>
      </w:pPr>
      <w:r>
        <w:rPr>
          <w:rFonts w:ascii="宋体" w:hAnsi="宋体" w:eastAsia="宋体" w:cs="宋体"/>
          <w:sz w:val="21"/>
        </w:rPr>
        <w:t>2.乙方的权利和义务</w:t>
      </w:r>
    </w:p>
    <w:p w14:paraId="7F47E22E">
      <w:pPr>
        <w:pStyle w:val="12"/>
        <w:ind w:firstLine="420" w:firstLineChars="200"/>
        <w:rPr>
          <w:rFonts w:ascii="宋体" w:hAnsi="宋体" w:eastAsia="宋体" w:cs="宋体"/>
          <w:sz w:val="21"/>
        </w:rPr>
      </w:pPr>
      <w:r>
        <w:rPr>
          <w:rFonts w:ascii="宋体" w:hAnsi="宋体" w:eastAsia="宋体" w:cs="宋体"/>
          <w:sz w:val="21"/>
        </w:rPr>
        <w:t>1.自合同签订后5日内组织人员进场开展各项相关工作；</w:t>
      </w:r>
    </w:p>
    <w:p w14:paraId="2CB5ACAB">
      <w:pPr>
        <w:pStyle w:val="12"/>
        <w:ind w:firstLine="420" w:firstLineChars="200"/>
        <w:rPr>
          <w:rFonts w:ascii="宋体" w:hAnsi="宋体" w:eastAsia="宋体" w:cs="宋体"/>
          <w:sz w:val="21"/>
        </w:rPr>
      </w:pPr>
      <w:r>
        <w:rPr>
          <w:rFonts w:ascii="宋体" w:hAnsi="宋体" w:eastAsia="宋体" w:cs="宋体"/>
          <w:sz w:val="21"/>
        </w:rPr>
        <w:t>2.乙方须按国家法律法规、相关技术规范和《招投标文件》的要求实施医务管理系统采购项目等技术服务工作；</w:t>
      </w:r>
    </w:p>
    <w:p w14:paraId="3598F9A4">
      <w:pPr>
        <w:pStyle w:val="12"/>
        <w:ind w:firstLine="420" w:firstLineChars="200"/>
        <w:rPr>
          <w:rFonts w:ascii="宋体" w:hAnsi="宋体" w:eastAsia="宋体" w:cs="宋体"/>
          <w:sz w:val="21"/>
        </w:rPr>
      </w:pPr>
      <w:r>
        <w:rPr>
          <w:rFonts w:ascii="宋体" w:hAnsi="宋体" w:eastAsia="宋体" w:cs="宋体"/>
          <w:sz w:val="21"/>
        </w:rPr>
        <w:t>3.乙方应当根据合同要求承诺确保项目保质、保量完成</w:t>
      </w:r>
      <w:r>
        <w:rPr>
          <w:rFonts w:ascii="宋体" w:hAnsi="宋体" w:eastAsia="宋体" w:cs="宋体"/>
          <w:sz w:val="21"/>
          <w:lang w:eastAsia="zh-CN"/>
        </w:rPr>
        <w:t>；</w:t>
      </w:r>
    </w:p>
    <w:p w14:paraId="48321C23">
      <w:pPr>
        <w:pStyle w:val="12"/>
        <w:ind w:firstLine="420" w:firstLineChars="200"/>
        <w:rPr>
          <w:rFonts w:ascii="宋体" w:hAnsi="宋体" w:eastAsia="宋体" w:cs="宋体"/>
          <w:sz w:val="21"/>
        </w:rPr>
      </w:pPr>
      <w:r>
        <w:rPr>
          <w:rFonts w:ascii="宋体" w:hAnsi="宋体" w:eastAsia="宋体" w:cs="宋体"/>
          <w:sz w:val="21"/>
        </w:rPr>
        <w:t>4.服务期内，若乙方提供的应用系统出现任何安全漏洞，乙方须严格按照甲方要求，无条件、第一时间配合甲方完成漏洞整改及闭环验证，不得推诿、拖延，不得收取任何额外费用。</w:t>
      </w:r>
    </w:p>
    <w:p w14:paraId="0D7B6BE6">
      <w:pPr>
        <w:pStyle w:val="12"/>
        <w:jc w:val="both"/>
        <w:rPr>
          <w:rFonts w:ascii="宋体" w:hAnsi="宋体" w:eastAsia="宋体" w:cs="宋体"/>
          <w:b/>
          <w:sz w:val="21"/>
          <w:szCs w:val="20"/>
          <w:lang w:eastAsia="zh-CN"/>
        </w:rPr>
      </w:pPr>
      <w:r>
        <w:rPr>
          <w:rFonts w:ascii="宋体" w:hAnsi="宋体" w:eastAsia="宋体" w:cs="宋体"/>
          <w:b/>
          <w:sz w:val="21"/>
          <w:lang w:eastAsia="zh-CN"/>
        </w:rPr>
        <w:t>八、</w:t>
      </w:r>
      <w:r>
        <w:rPr>
          <w:rFonts w:ascii="宋体" w:hAnsi="宋体" w:eastAsia="宋体" w:cs="宋体"/>
          <w:b/>
          <w:sz w:val="21"/>
          <w:szCs w:val="20"/>
          <w:lang w:eastAsia="zh-CN"/>
        </w:rPr>
        <w:t>违约责任与赔偿损失</w:t>
      </w:r>
    </w:p>
    <w:p w14:paraId="3F7B0698">
      <w:pPr>
        <w:pStyle w:val="12"/>
        <w:ind w:firstLine="420" w:firstLineChars="200"/>
        <w:rPr>
          <w:rFonts w:ascii="宋体" w:hAnsi="宋体" w:eastAsia="宋体" w:cs="宋体"/>
          <w:sz w:val="21"/>
          <w:szCs w:val="20"/>
        </w:rPr>
      </w:pPr>
      <w:r>
        <w:rPr>
          <w:rFonts w:ascii="宋体" w:hAnsi="宋体" w:eastAsia="宋体" w:cs="宋体"/>
          <w:color w:val="auto"/>
          <w:sz w:val="21"/>
          <w:szCs w:val="20"/>
        </w:rPr>
        <w:t>1.乙方须保证提交的第三方检查报告真实有效，若存在弄虚作假行为，甲方有权终止合同、追回已支付费用，并对乙方进行合同金额30%处罚。</w:t>
      </w:r>
    </w:p>
    <w:p w14:paraId="20B8C20C">
      <w:pPr>
        <w:pStyle w:val="12"/>
        <w:ind w:firstLine="420" w:firstLineChars="200"/>
        <w:rPr>
          <w:rFonts w:ascii="宋体" w:hAnsi="宋体" w:eastAsia="宋体" w:cs="宋体"/>
          <w:sz w:val="21"/>
          <w:szCs w:val="20"/>
        </w:rPr>
      </w:pPr>
      <w:r>
        <w:rPr>
          <w:rFonts w:ascii="宋体" w:hAnsi="宋体" w:eastAsia="宋体" w:cs="宋体"/>
          <w:color w:val="auto"/>
          <w:sz w:val="21"/>
          <w:szCs w:val="20"/>
        </w:rPr>
        <w:t>2.因乙方未及时整改安全漏洞，导致甲方出现通报、处罚、业务中断、数据安全事件等情况的，所有责任及相关损失均由乙方承担。</w:t>
      </w:r>
    </w:p>
    <w:p w14:paraId="1343F1BA">
      <w:pPr>
        <w:pStyle w:val="12"/>
        <w:ind w:firstLine="420" w:firstLineChars="200"/>
        <w:rPr>
          <w:rFonts w:ascii="宋体" w:hAnsi="宋体" w:eastAsia="宋体" w:cs="宋体"/>
          <w:sz w:val="21"/>
          <w:szCs w:val="20"/>
        </w:rPr>
      </w:pPr>
      <w:r>
        <w:rPr>
          <w:rFonts w:ascii="宋体" w:hAnsi="宋体" w:eastAsia="宋体" w:cs="宋体"/>
          <w:color w:val="auto"/>
          <w:sz w:val="21"/>
          <w:szCs w:val="20"/>
        </w:rPr>
        <w:t>3.乙方拒不配合漏洞整改、拖延整改，或整改后仍不合格的，甲方有权暂停支付相关费用、扣除合同金额20%费用、追究乙方违约责任，并保留进一步追责的权利。</w:t>
      </w:r>
    </w:p>
    <w:p w14:paraId="2E1074DB">
      <w:pPr>
        <w:pStyle w:val="12"/>
        <w:ind w:firstLine="420" w:firstLineChars="200"/>
        <w:rPr>
          <w:rFonts w:ascii="宋体" w:hAnsi="宋体" w:eastAsia="宋体" w:cs="宋体"/>
          <w:color w:val="auto"/>
          <w:sz w:val="21"/>
          <w:szCs w:val="20"/>
        </w:rPr>
      </w:pPr>
      <w:r>
        <w:rPr>
          <w:rFonts w:ascii="宋体" w:hAnsi="宋体" w:eastAsia="宋体" w:cs="宋体"/>
          <w:color w:val="auto"/>
          <w:sz w:val="21"/>
          <w:szCs w:val="20"/>
        </w:rPr>
        <w:t>4.乙方提供的服务不符合本合同规定的，甲方有权拒绝接受服务并通知乙方，乙方须向甲方支付本合同总价5%的违约金，甲方有权优先从履约保证金中扣除。</w:t>
      </w:r>
    </w:p>
    <w:p w14:paraId="0D8DCA0D">
      <w:pPr>
        <w:pStyle w:val="12"/>
        <w:ind w:firstLine="420" w:firstLineChars="200"/>
        <w:rPr>
          <w:rFonts w:ascii="宋体" w:hAnsi="宋体" w:eastAsia="宋体" w:cs="宋体"/>
          <w:color w:val="auto"/>
          <w:sz w:val="21"/>
          <w:szCs w:val="20"/>
        </w:rPr>
      </w:pPr>
      <w:r>
        <w:rPr>
          <w:rFonts w:ascii="宋体" w:hAnsi="宋体" w:eastAsia="宋体" w:cs="宋体"/>
          <w:color w:val="auto"/>
          <w:sz w:val="21"/>
          <w:szCs w:val="20"/>
        </w:rPr>
        <w:t>5.乙方承诺的项目团队未经甲方允许，未在合同签订后10个日历天内到甲方现场，</w:t>
      </w:r>
      <w:r>
        <w:rPr>
          <w:rFonts w:hint="eastAsia" w:ascii="宋体" w:hAnsi="宋体" w:eastAsia="宋体" w:cs="宋体"/>
          <w:color w:val="auto"/>
          <w:sz w:val="21"/>
          <w:szCs w:val="20"/>
        </w:rPr>
        <w:t>从合同约定的进场日期起，如逾期进场，</w:t>
      </w:r>
      <w:r>
        <w:rPr>
          <w:rFonts w:ascii="宋体" w:hAnsi="宋体" w:eastAsia="宋体" w:cs="宋体"/>
          <w:color w:val="auto"/>
          <w:sz w:val="21"/>
          <w:szCs w:val="20"/>
        </w:rPr>
        <w:t>或出现在甲方工作时间内早退，将按照合同签订总价的0.1‰向甲方支付违约金。</w:t>
      </w:r>
    </w:p>
    <w:p w14:paraId="67F7686E">
      <w:pPr>
        <w:pStyle w:val="12"/>
        <w:ind w:firstLine="420" w:firstLineChars="200"/>
        <w:rPr>
          <w:rFonts w:ascii="宋体" w:hAnsi="宋体" w:eastAsia="宋体" w:cs="宋体"/>
          <w:color w:val="auto"/>
          <w:sz w:val="21"/>
          <w:szCs w:val="20"/>
        </w:rPr>
      </w:pPr>
      <w:r>
        <w:rPr>
          <w:rFonts w:ascii="宋体" w:hAnsi="宋体" w:eastAsia="宋体" w:cs="宋体"/>
          <w:color w:val="auto"/>
          <w:sz w:val="21"/>
          <w:szCs w:val="20"/>
        </w:rPr>
        <w:t>6.甲方无正当理由拒收接受服务、到期拒付服务款项的，</w:t>
      </w:r>
      <w:r>
        <w:rPr>
          <w:rFonts w:ascii="宋体" w:hAnsi="宋体" w:eastAsia="宋体" w:cs="宋体"/>
          <w:sz w:val="21"/>
          <w:szCs w:val="20"/>
        </w:rPr>
        <w:t>经乙方书面催告后7个工作日内甲方仍拒付款项的，</w:t>
      </w:r>
      <w:r>
        <w:rPr>
          <w:rFonts w:ascii="宋体" w:hAnsi="宋体" w:eastAsia="宋体" w:cs="宋体"/>
          <w:color w:val="auto"/>
          <w:sz w:val="21"/>
          <w:szCs w:val="20"/>
        </w:rPr>
        <w:t>甲方向乙方偿付本合同总价5%的违约金。甲方未按照约定日期支付价款的，每逾期一日按本合同总价的3‰向乙方偿付违约金。</w:t>
      </w:r>
    </w:p>
    <w:p w14:paraId="325D3F05">
      <w:pPr>
        <w:pStyle w:val="12"/>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7.项目延期处罚</w:t>
      </w:r>
    </w:p>
    <w:p w14:paraId="28CC485D">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乙方未按合同约定工期完成系统上线、交付及全部服务内容，每逾期一日，乙方按合同总金额的3‰向甲方支付违约金；逾期超过30日的，甲方有权单方解除合同，乙方除承担违约金外，还需赔偿甲方因此遭受的全部损失。</w:t>
      </w:r>
    </w:p>
    <w:p w14:paraId="7D1771EA">
      <w:pPr>
        <w:pStyle w:val="12"/>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8.项目人员配置/驻场不达标处罚</w:t>
      </w:r>
    </w:p>
    <w:p w14:paraId="69868657">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①乙方派驻人员未按要求配齐对应资质证书、佐证材料，或人员专业资质、岗位能力不符合合同约定的，甲方有权要求乙方3个工作日内完成整改；逾期未整改的，每次按合同总金额的</w:t>
      </w:r>
      <w:r>
        <w:rPr>
          <w:rFonts w:ascii="宋体" w:hAnsi="宋体" w:eastAsia="宋体" w:cs="宋体"/>
          <w:color w:val="auto"/>
          <w:sz w:val="21"/>
          <w:szCs w:val="20"/>
          <w:highlight w:val="none"/>
        </w:rPr>
        <w:t>20</w:t>
      </w:r>
      <w:r>
        <w:rPr>
          <w:rFonts w:hint="eastAsia" w:ascii="宋体" w:hAnsi="宋体" w:eastAsia="宋体" w:cs="宋体"/>
          <w:color w:val="auto"/>
          <w:sz w:val="21"/>
          <w:szCs w:val="20"/>
          <w:highlight w:val="none"/>
          <w:lang w:val="en-US" w:eastAsia="zh-CN"/>
        </w:rPr>
        <w:t>%支付违约金。</w:t>
      </w:r>
    </w:p>
    <w:p w14:paraId="22010E79">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②乙方擅自更换项目服务工程师、未经批准私自离岗，或驻场人员在岗时长、到岗人数未达到双方约定标准的，甲方有权要求乙方立即纠正，单次违规按5000元/人次计收违约金；累计违规达3次，甲方有权扣除部分合同款项，并要求乙方重新调配合格人员进场。</w:t>
      </w:r>
    </w:p>
    <w:p w14:paraId="0BF66311">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③因乙方人员配置、驻场管理不达标造成项目停滞、服务中断的，乙方承担全部责任，并另行赔偿甲方实际损失。</w:t>
      </w:r>
    </w:p>
    <w:p w14:paraId="35F91404">
      <w:pPr>
        <w:pStyle w:val="12"/>
        <w:ind w:firstLine="420" w:firstLineChars="200"/>
        <w:rPr>
          <w:rFonts w:hint="eastAsia" w:ascii="宋体" w:hAnsi="宋体" w:eastAsia="宋体" w:cs="宋体"/>
          <w:b w:val="0"/>
          <w:bCs w:val="0"/>
          <w:color w:val="auto"/>
          <w:sz w:val="21"/>
          <w:szCs w:val="20"/>
          <w:highlight w:val="none"/>
          <w:lang w:val="en-US" w:eastAsia="zh-CN"/>
        </w:rPr>
      </w:pPr>
      <w:r>
        <w:rPr>
          <w:rFonts w:hint="eastAsia" w:ascii="宋体" w:hAnsi="宋体" w:eastAsia="宋体" w:cs="宋体"/>
          <w:b w:val="0"/>
          <w:bCs w:val="0"/>
          <w:color w:val="auto"/>
          <w:sz w:val="21"/>
          <w:szCs w:val="20"/>
          <w:highlight w:val="none"/>
          <w:lang w:val="en-US" w:eastAsia="zh-CN"/>
        </w:rPr>
        <w:t>9.核心功能未达标的违约责任</w:t>
      </w:r>
    </w:p>
    <w:p w14:paraId="26CC10A5">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9.1核心功能范围界定</w:t>
      </w:r>
    </w:p>
    <w:p w14:paraId="6B49ED47">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双方确认，本合同项下乙方须实现的核心功能（下称“核心功能”）以招标文件/采购需求书中标明的以下内容为准：</w:t>
      </w:r>
    </w:p>
    <w:p w14:paraId="670FDBCC">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（1）核心功能如下</w:t>
      </w:r>
    </w:p>
    <w:p w14:paraId="2E2F872A">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功能模块一：【系统支持长者档案、健康信息添加、文件资料上传、批量操作】</w:t>
      </w:r>
    </w:p>
    <w:p w14:paraId="718062BA">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功能模块二：【支持上传PDF/图片等体检报告、病历、手术记录、用药记录等上传、查看；】</w:t>
      </w:r>
    </w:p>
    <w:p w14:paraId="780C798E">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功能模块三：【支持对长者进行评估；评估表新建；】</w:t>
      </w:r>
    </w:p>
    <w:p w14:paraId="52ECC00C">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功能模块四：【支持对长者的各类信息整合后形成多维度评估结论】</w:t>
      </w:r>
    </w:p>
    <w:p w14:paraId="212869AE">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功能模块五：【支持建立健康档案、健康管理及生命体征检查管理分析】</w:t>
      </w:r>
    </w:p>
    <w:p w14:paraId="5AD9A10C">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以上功能模块内容具体要求见需求书；</w:t>
      </w:r>
    </w:p>
    <w:p w14:paraId="2E8FAAB9">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9.2验收标准</w:t>
      </w:r>
    </w:p>
    <w:p w14:paraId="3B93C5A5">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上述核心功能须在系统上线验收时全部实现并通过甲方测试验证，具体验收标准以需求书及双方确认的技术方案为准。</w:t>
      </w:r>
    </w:p>
    <w:p w14:paraId="61B5BBAB">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9.3未达标的处罚机制</w:t>
      </w:r>
    </w:p>
    <w:p w14:paraId="4298D1DD">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若经最终验收，任一核心功能未实现、未完整实现、或与需求书约定存在重大偏离（包括但不限于功能缺失、性能指标不达标、无法稳定运行等），甲方有权按以下方式处理：</w:t>
      </w:r>
    </w:p>
    <w:p w14:paraId="0B429C55">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（1）扣减款项：每项核心功能未达标，甲方有权扣减合同总金额【5】%的款项，扣减金额可累计计算。</w:t>
      </w:r>
    </w:p>
    <w:p w14:paraId="2738572E">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（2）限期整改：甲方给予乙方【30】个日历天的整改期限。整改期满仍无法实现该核心功能的，甲方有权按本款第（3）项执行。</w:t>
      </w:r>
    </w:p>
    <w:p w14:paraId="7DC3FF96">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（3）终止合同及全面处罚：出现以下任一情形的，甲方有权单方解除合同，乙方应退还甲方已支付的全部款项，并按合同总金额的【20】%向甲方支付违约金，同时赔偿甲方因此遭受的全部损失：</w:t>
      </w:r>
    </w:p>
    <w:p w14:paraId="5B85A636">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①核心功能未达标项数累计达到【5】项；</w:t>
      </w:r>
    </w:p>
    <w:p w14:paraId="7302E7D8">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②经整改后，仍有任一核心功能无法实现；</w:t>
      </w:r>
    </w:p>
    <w:p w14:paraId="3A21B2AB">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③核心功能的缺失导致系统整体无法达成合同目的，或无法通过甲方最终验收。</w:t>
      </w:r>
    </w:p>
    <w:p w14:paraId="6519A4F7">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9.4权利保留</w:t>
      </w:r>
    </w:p>
    <w:p w14:paraId="09DD0E42">
      <w:pPr>
        <w:pStyle w:val="12"/>
        <w:ind w:firstLine="420" w:firstLineChars="200"/>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甲方依据本条款解除合同的，不影响甲方依据本合同其他条款及法律法规向乙方主张违约责任及赔偿损失的权利。</w:t>
      </w:r>
    </w:p>
    <w:p w14:paraId="1BB18691">
      <w:pPr>
        <w:pStyle w:val="12"/>
        <w:ind w:firstLine="420" w:firstLineChars="200"/>
        <w:rPr>
          <w:rFonts w:ascii="宋体" w:hAnsi="宋体" w:eastAsia="宋体" w:cs="宋体"/>
          <w:color w:val="auto"/>
          <w:sz w:val="21"/>
          <w:szCs w:val="20"/>
        </w:rPr>
      </w:pPr>
      <w:r>
        <w:rPr>
          <w:rFonts w:hint="eastAsia" w:ascii="宋体" w:hAnsi="宋体" w:eastAsia="宋体" w:cs="宋体"/>
          <w:color w:val="auto"/>
          <w:sz w:val="21"/>
          <w:szCs w:val="20"/>
          <w:lang w:val="en-US" w:eastAsia="zh-CN"/>
        </w:rPr>
        <w:t>10</w:t>
      </w:r>
      <w:r>
        <w:rPr>
          <w:rFonts w:ascii="宋体" w:hAnsi="宋体" w:eastAsia="宋体" w:cs="宋体"/>
          <w:color w:val="auto"/>
          <w:sz w:val="21"/>
          <w:szCs w:val="20"/>
        </w:rPr>
        <w:t>.其他违约责任按照《中华人民共和国民法典（合同编）》处理。</w:t>
      </w:r>
    </w:p>
    <w:p w14:paraId="31FF7F47">
      <w:pPr>
        <w:pStyle w:val="12"/>
        <w:ind w:firstLine="420" w:firstLineChars="200"/>
        <w:rPr>
          <w:rFonts w:ascii="宋体" w:hAnsi="宋体" w:eastAsia="宋体" w:cs="宋体"/>
          <w:b w:val="0"/>
          <w:sz w:val="21"/>
        </w:rPr>
      </w:pPr>
      <w:r>
        <w:rPr>
          <w:rFonts w:hint="eastAsia" w:ascii="宋体" w:hAnsi="宋体" w:eastAsia="宋体" w:cs="宋体"/>
          <w:color w:val="auto"/>
          <w:sz w:val="21"/>
          <w:szCs w:val="20"/>
          <w:lang w:val="en-US" w:eastAsia="zh-CN"/>
        </w:rPr>
        <w:t>11</w:t>
      </w:r>
      <w:r>
        <w:rPr>
          <w:rFonts w:ascii="宋体" w:hAnsi="宋体" w:eastAsia="宋体" w:cs="宋体"/>
          <w:color w:val="auto"/>
          <w:sz w:val="21"/>
          <w:szCs w:val="20"/>
        </w:rPr>
        <w:t>.乙方应充分了解甲方的需求及实际情况，如签订合同后无法达到甲方的合同要求，且经补救后仍无法实现甲方合同目的的，甲方有权终止合同，且乙方所有投入归甲方所有。</w:t>
      </w:r>
    </w:p>
    <w:p w14:paraId="3CBBF27C">
      <w:pPr>
        <w:pStyle w:val="12"/>
        <w:rPr>
          <w:rFonts w:ascii="宋体" w:hAnsi="宋体" w:eastAsia="宋体" w:cs="宋体"/>
        </w:rPr>
      </w:pPr>
      <w:r>
        <w:rPr>
          <w:rFonts w:hint="eastAsia" w:ascii="宋体" w:hAnsi="宋体" w:eastAsia="宋体" w:cs="宋体"/>
          <w:b/>
          <w:sz w:val="21"/>
          <w:lang w:val="en-US" w:eastAsia="zh-CN"/>
        </w:rPr>
        <w:t>九、</w:t>
      </w:r>
      <w:r>
        <w:rPr>
          <w:rFonts w:ascii="宋体" w:hAnsi="宋体" w:eastAsia="宋体" w:cs="宋体"/>
          <w:b/>
          <w:sz w:val="21"/>
        </w:rPr>
        <w:t>争端的解决</w:t>
      </w:r>
    </w:p>
    <w:p w14:paraId="7F113B19">
      <w:pPr>
        <w:pStyle w:val="12"/>
        <w:ind w:firstLine="480"/>
        <w:rPr>
          <w:rFonts w:ascii="宋体" w:hAnsi="宋体" w:eastAsia="宋体" w:cs="宋体"/>
        </w:rPr>
      </w:pPr>
      <w:r>
        <w:rPr>
          <w:rFonts w:ascii="宋体" w:hAnsi="宋体" w:eastAsia="宋体" w:cs="宋体"/>
          <w:sz w:val="21"/>
        </w:rPr>
        <w:t>合同执行过程中发生的任何争议，如双方不能通过友好协商解决，任何一方均有权向甲方所在地人民法院提起诉讼解决。</w:t>
      </w:r>
    </w:p>
    <w:p w14:paraId="644D5E64">
      <w:pPr>
        <w:pStyle w:val="12"/>
        <w:rPr>
          <w:rFonts w:ascii="宋体" w:hAnsi="宋体" w:eastAsia="宋体" w:cs="宋体"/>
        </w:rPr>
      </w:pPr>
      <w:r>
        <w:rPr>
          <w:rFonts w:hint="eastAsia" w:ascii="宋体" w:hAnsi="宋体" w:eastAsia="宋体" w:cs="宋体"/>
          <w:b/>
          <w:sz w:val="21"/>
          <w:lang w:val="en-US" w:eastAsia="zh-CN"/>
        </w:rPr>
        <w:t>十</w:t>
      </w:r>
      <w:r>
        <w:rPr>
          <w:rFonts w:ascii="宋体" w:hAnsi="宋体" w:eastAsia="宋体" w:cs="宋体"/>
          <w:b/>
          <w:sz w:val="21"/>
        </w:rPr>
        <w:t>、不可抗力</w:t>
      </w:r>
    </w:p>
    <w:p w14:paraId="37627BDB">
      <w:pPr>
        <w:pStyle w:val="12"/>
        <w:ind w:firstLine="480"/>
        <w:rPr>
          <w:rFonts w:ascii="宋体" w:hAnsi="宋体" w:eastAsia="宋体" w:cs="宋体"/>
        </w:rPr>
      </w:pPr>
      <w:r>
        <w:rPr>
          <w:rFonts w:ascii="宋体" w:hAnsi="宋体" w:eastAsia="宋体" w:cs="宋体"/>
          <w:sz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A9086F1">
      <w:pPr>
        <w:pStyle w:val="12"/>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一</w:t>
      </w:r>
      <w:r>
        <w:rPr>
          <w:rFonts w:ascii="宋体" w:hAnsi="宋体" w:eastAsia="宋体" w:cs="宋体"/>
          <w:b/>
          <w:sz w:val="21"/>
        </w:rPr>
        <w:t>、税费</w:t>
      </w:r>
    </w:p>
    <w:p w14:paraId="1A6E3B03">
      <w:pPr>
        <w:pStyle w:val="12"/>
        <w:ind w:firstLine="480"/>
        <w:rPr>
          <w:rFonts w:ascii="宋体" w:hAnsi="宋体" w:eastAsia="宋体" w:cs="宋体"/>
        </w:rPr>
      </w:pPr>
      <w:r>
        <w:rPr>
          <w:rFonts w:ascii="宋体" w:hAnsi="宋体" w:eastAsia="宋体" w:cs="宋体"/>
          <w:sz w:val="21"/>
        </w:rPr>
        <w:t>在中国境内、外发生的与本合同执行有关的一切税费均由乙方负担。</w:t>
      </w:r>
    </w:p>
    <w:p w14:paraId="434EE633">
      <w:pPr>
        <w:pStyle w:val="12"/>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二</w:t>
      </w:r>
      <w:r>
        <w:rPr>
          <w:rFonts w:ascii="宋体" w:hAnsi="宋体" w:eastAsia="宋体" w:cs="宋体"/>
          <w:b/>
          <w:sz w:val="21"/>
        </w:rPr>
        <w:t>、其它</w:t>
      </w:r>
    </w:p>
    <w:p w14:paraId="7E8A0617">
      <w:pPr>
        <w:pStyle w:val="12"/>
        <w:ind w:firstLine="480"/>
        <w:rPr>
          <w:rFonts w:ascii="宋体" w:hAnsi="宋体" w:eastAsia="宋体" w:cs="宋体"/>
        </w:rPr>
      </w:pPr>
      <w:r>
        <w:rPr>
          <w:rFonts w:ascii="宋体" w:hAnsi="宋体" w:eastAsia="宋体" w:cs="宋体"/>
          <w:sz w:val="21"/>
        </w:rPr>
        <w:t>1.本合同所有附件、招标文件、投标文件、成交通知书均为合同的有效组成部分，与本合同具有同等法律效力。</w:t>
      </w:r>
    </w:p>
    <w:p w14:paraId="2AD1D515">
      <w:pPr>
        <w:pStyle w:val="12"/>
        <w:ind w:firstLine="480"/>
        <w:rPr>
          <w:rFonts w:ascii="宋体" w:hAnsi="宋体" w:eastAsia="宋体" w:cs="宋体"/>
        </w:rPr>
      </w:pPr>
      <w:r>
        <w:rPr>
          <w:rFonts w:ascii="宋体" w:hAnsi="宋体" w:eastAsia="宋体" w:cs="宋体"/>
          <w:sz w:val="21"/>
        </w:rPr>
        <w:t>2.在执行本合同的过程中，所有经双方签署确认的文件（包括会议纪要、补充协议、往来信函）即成为本合同的有效组成部分。</w:t>
      </w:r>
    </w:p>
    <w:p w14:paraId="25474FD3">
      <w:pPr>
        <w:pStyle w:val="12"/>
        <w:ind w:firstLine="480"/>
        <w:rPr>
          <w:rFonts w:ascii="宋体" w:hAnsi="宋体" w:eastAsia="宋体" w:cs="宋体"/>
        </w:rPr>
      </w:pPr>
      <w:r>
        <w:rPr>
          <w:rFonts w:ascii="宋体" w:hAnsi="宋体" w:eastAsia="宋体" w:cs="宋体"/>
          <w:sz w:val="21"/>
        </w:rPr>
        <w:t>3.双方确认本合同所记载的地址为其送达地址，如一方地址、电话、传真号码有变更，应在变更当日内书面通知对方，否则，双方的文件、资料等一经发送至前述地址，即视为送达。</w:t>
      </w:r>
    </w:p>
    <w:p w14:paraId="38A022ED">
      <w:pPr>
        <w:pStyle w:val="12"/>
        <w:ind w:firstLine="480"/>
        <w:rPr>
          <w:rFonts w:ascii="宋体" w:hAnsi="宋体" w:eastAsia="宋体" w:cs="宋体"/>
          <w:sz w:val="21"/>
        </w:rPr>
      </w:pPr>
      <w:r>
        <w:rPr>
          <w:rFonts w:ascii="宋体" w:hAnsi="宋体" w:eastAsia="宋体" w:cs="宋体"/>
          <w:sz w:val="21"/>
        </w:rPr>
        <w:t>4.除甲方事先书面同意外，乙方不得部分或全部转让其应履行的合同项下的义务。</w:t>
      </w:r>
    </w:p>
    <w:p w14:paraId="0332822F">
      <w:pPr>
        <w:pStyle w:val="12"/>
        <w:ind w:firstLine="480"/>
        <w:rPr>
          <w:rFonts w:ascii="宋体" w:hAnsi="宋体" w:eastAsia="宋体" w:cs="宋体"/>
          <w:sz w:val="21"/>
          <w:lang w:eastAsia="zh-CN"/>
        </w:rPr>
      </w:pPr>
      <w:r>
        <w:rPr>
          <w:rFonts w:ascii="宋体" w:hAnsi="宋体" w:eastAsia="宋体" w:cs="宋体"/>
          <w:sz w:val="21"/>
          <w:lang w:eastAsia="zh-CN"/>
        </w:rPr>
        <w:t>5.</w:t>
      </w:r>
      <w:r>
        <w:rPr>
          <w:rFonts w:ascii="宋体" w:hAnsi="宋体" w:eastAsia="宋体" w:cs="宋体"/>
          <w:sz w:val="21"/>
        </w:rPr>
        <w:t xml:space="preserve">甲乙双方共同明确：乙方为签订、履行及处理本合同项下相关事宜而向甲方发出的所有通知、说明、确认、承诺、决定等任何关系合同权利义务责任的意思表示，最终应以加盖乙方公章的书面文件为准；不论何种情况下，包含乙方员工在内的任何人在没有乙方明确书面特别授权的情况下，其作出的任何口头或文字的确认、承诺、表态，均不能替代乙方最终意见，除非乙方明确以书面形式作出追认。 </w:t>
      </w:r>
    </w:p>
    <w:p w14:paraId="4E1E09EB">
      <w:pPr>
        <w:pStyle w:val="12"/>
        <w:rPr>
          <w:rFonts w:ascii="宋体" w:hAnsi="宋体" w:eastAsia="宋体" w:cs="宋体"/>
        </w:rPr>
      </w:pPr>
      <w:r>
        <w:rPr>
          <w:rFonts w:ascii="宋体" w:hAnsi="宋体" w:eastAsia="宋体" w:cs="宋体"/>
          <w:b/>
          <w:sz w:val="21"/>
        </w:rPr>
        <w:t>十</w:t>
      </w:r>
      <w:r>
        <w:rPr>
          <w:rFonts w:hint="eastAsia" w:ascii="宋体" w:hAnsi="宋体" w:eastAsia="宋体" w:cs="宋体"/>
          <w:b/>
          <w:sz w:val="21"/>
          <w:lang w:val="en-US" w:eastAsia="zh-CN"/>
        </w:rPr>
        <w:t>三</w:t>
      </w:r>
      <w:r>
        <w:rPr>
          <w:rFonts w:ascii="宋体" w:hAnsi="宋体" w:eastAsia="宋体" w:cs="宋体"/>
          <w:b/>
          <w:sz w:val="21"/>
        </w:rPr>
        <w:t>、合同生效</w:t>
      </w:r>
    </w:p>
    <w:p w14:paraId="36F6AD31">
      <w:pPr>
        <w:pStyle w:val="12"/>
        <w:ind w:firstLine="480"/>
        <w:rPr>
          <w:rFonts w:ascii="宋体" w:hAnsi="宋体" w:eastAsia="宋体" w:cs="宋体"/>
        </w:rPr>
      </w:pPr>
      <w:r>
        <w:rPr>
          <w:rFonts w:ascii="宋体" w:hAnsi="宋体" w:eastAsia="宋体" w:cs="宋体"/>
          <w:sz w:val="21"/>
        </w:rPr>
        <w:t>1.本合同在甲乙双方法人代表或其授权代表签字盖章后生效。</w:t>
      </w:r>
    </w:p>
    <w:p w14:paraId="4F07EDCD">
      <w:pPr>
        <w:pStyle w:val="12"/>
        <w:ind w:firstLine="480"/>
        <w:rPr>
          <w:rFonts w:ascii="宋体" w:hAnsi="宋体" w:eastAsia="宋体" w:cs="宋体"/>
        </w:rPr>
      </w:pPr>
      <w:r>
        <w:rPr>
          <w:rFonts w:ascii="宋体" w:hAnsi="宋体" w:eastAsia="宋体" w:cs="宋体"/>
          <w:sz w:val="21"/>
        </w:rPr>
        <w:t>2.合同一式</w:t>
      </w:r>
      <w:r>
        <w:rPr>
          <w:rFonts w:ascii="宋体" w:hAnsi="宋体" w:eastAsia="宋体" w:cs="宋体"/>
          <w:sz w:val="21"/>
          <w:u w:val="single"/>
          <w:lang w:eastAsia="zh-CN"/>
        </w:rPr>
        <w:t>陆</w:t>
      </w:r>
      <w:r>
        <w:rPr>
          <w:rFonts w:ascii="宋体" w:hAnsi="宋体" w:eastAsia="宋体" w:cs="宋体"/>
          <w:sz w:val="21"/>
        </w:rPr>
        <w:t>份，甲方</w:t>
      </w:r>
      <w:r>
        <w:rPr>
          <w:rFonts w:ascii="宋体" w:hAnsi="宋体" w:eastAsia="宋体" w:cs="宋体"/>
          <w:sz w:val="21"/>
          <w:lang w:eastAsia="zh-CN"/>
        </w:rPr>
        <w:t>执</w:t>
      </w:r>
      <w:r>
        <w:rPr>
          <w:rFonts w:ascii="宋体" w:hAnsi="宋体" w:eastAsia="宋体" w:cs="宋体"/>
          <w:sz w:val="21"/>
          <w:u w:val="single"/>
          <w:lang w:eastAsia="zh-CN"/>
        </w:rPr>
        <w:t>伍</w:t>
      </w:r>
      <w:r>
        <w:rPr>
          <w:rFonts w:ascii="宋体" w:hAnsi="宋体" w:eastAsia="宋体" w:cs="宋体"/>
          <w:sz w:val="21"/>
          <w:lang w:eastAsia="zh-CN"/>
        </w:rPr>
        <w:t>份，乙方</w:t>
      </w:r>
      <w:r>
        <w:rPr>
          <w:rFonts w:ascii="宋体" w:hAnsi="宋体" w:eastAsia="宋体" w:cs="宋体"/>
          <w:sz w:val="21"/>
        </w:rPr>
        <w:t>执</w:t>
      </w:r>
      <w:r>
        <w:rPr>
          <w:rFonts w:ascii="宋体" w:hAnsi="宋体" w:eastAsia="宋体" w:cs="宋体"/>
          <w:sz w:val="21"/>
          <w:u w:val="single"/>
          <w:lang w:eastAsia="zh-CN"/>
        </w:rPr>
        <w:t>壹</w:t>
      </w:r>
      <w:r>
        <w:rPr>
          <w:rFonts w:ascii="宋体" w:hAnsi="宋体" w:eastAsia="宋体" w:cs="宋体"/>
          <w:sz w:val="21"/>
        </w:rPr>
        <w:t>份。</w:t>
      </w:r>
    </w:p>
    <w:p w14:paraId="747E0CAD">
      <w:pPr>
        <w:pStyle w:val="12"/>
        <w:ind w:firstLine="480"/>
        <w:rPr>
          <w:rFonts w:ascii="宋体" w:hAnsi="宋体" w:eastAsia="宋体" w:cs="宋体"/>
          <w:sz w:val="21"/>
        </w:rPr>
      </w:pPr>
      <w:r>
        <w:rPr>
          <w:rFonts w:ascii="宋体" w:hAnsi="宋体" w:eastAsia="宋体" w:cs="宋体"/>
          <w:sz w:val="21"/>
        </w:rPr>
        <w:t>（以下无正文）</w:t>
      </w:r>
    </w:p>
    <w:p w14:paraId="36DE4740">
      <w:pPr>
        <w:pStyle w:val="12"/>
        <w:ind w:firstLine="480"/>
        <w:rPr>
          <w:rFonts w:ascii="宋体" w:hAnsi="宋体" w:eastAsia="宋体" w:cs="宋体"/>
          <w:sz w:val="21"/>
        </w:rPr>
      </w:pPr>
    </w:p>
    <w:p w14:paraId="7DCF2029">
      <w:pPr>
        <w:pStyle w:val="12"/>
        <w:ind w:firstLine="480"/>
        <w:rPr>
          <w:rFonts w:ascii="宋体" w:hAnsi="宋体" w:eastAsia="宋体" w:cs="宋体"/>
          <w:sz w:val="21"/>
        </w:rPr>
      </w:pP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79"/>
        <w:gridCol w:w="3904"/>
        <w:gridCol w:w="222"/>
      </w:tblGrid>
      <w:tr w14:paraId="250CBC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9" w:type="dxa"/>
            <w:tcBorders>
              <w:top w:val="nil"/>
              <w:left w:val="nil"/>
              <w:bottom w:val="nil"/>
              <w:right w:val="dashed" w:color="000000" w:sz="4" w:space="0"/>
            </w:tcBorders>
            <w:tcMar>
              <w:top w:w="0" w:type="dxa"/>
              <w:left w:w="105" w:type="dxa"/>
              <w:bottom w:w="0" w:type="dxa"/>
              <w:right w:w="105" w:type="dxa"/>
            </w:tcMar>
          </w:tcPr>
          <w:p w14:paraId="0AA61447">
            <w:pPr>
              <w:pStyle w:val="12"/>
              <w:rPr>
                <w:rFonts w:ascii="宋体" w:hAnsi="宋体" w:eastAsia="宋体" w:cs="宋体"/>
              </w:rPr>
            </w:pPr>
            <w:r>
              <w:rPr>
                <w:rFonts w:ascii="宋体" w:hAnsi="宋体" w:eastAsia="宋体" w:cs="宋体"/>
                <w:b/>
                <w:sz w:val="21"/>
              </w:rPr>
              <w:t>甲方（盖章）：广东省第一荣军优抚医院</w:t>
            </w:r>
          </w:p>
          <w:p w14:paraId="45E9BF0C">
            <w:pPr>
              <w:pStyle w:val="12"/>
              <w:rPr>
                <w:rFonts w:ascii="宋体" w:hAnsi="宋体" w:eastAsia="宋体" w:cs="宋体"/>
                <w:sz w:val="21"/>
              </w:rPr>
            </w:pPr>
            <w:r>
              <w:rPr>
                <w:rFonts w:ascii="宋体" w:hAnsi="宋体" w:eastAsia="宋体" w:cs="宋体"/>
                <w:sz w:val="21"/>
              </w:rPr>
              <w:t>代表：</w:t>
            </w:r>
          </w:p>
          <w:p w14:paraId="717B481B">
            <w:pPr>
              <w:pStyle w:val="12"/>
              <w:rPr>
                <w:rFonts w:ascii="宋体" w:hAnsi="宋体" w:eastAsia="宋体" w:cs="宋体"/>
              </w:rPr>
            </w:pPr>
            <w:r>
              <w:rPr>
                <w:rFonts w:ascii="宋体" w:hAnsi="宋体" w:eastAsia="宋体" w:cs="宋体"/>
                <w:sz w:val="19"/>
              </w:rPr>
              <w:t xml:space="preserve"> </w:t>
            </w:r>
          </w:p>
          <w:p w14:paraId="578EC690">
            <w:pPr>
              <w:pStyle w:val="12"/>
              <w:rPr>
                <w:rFonts w:ascii="宋体" w:hAnsi="宋体" w:eastAsia="宋体" w:cs="宋体"/>
                <w:lang w:eastAsia="zh-CN"/>
              </w:rPr>
            </w:pPr>
            <w:r>
              <w:rPr>
                <w:rFonts w:ascii="宋体" w:hAnsi="宋体" w:eastAsia="宋体" w:cs="宋体"/>
                <w:sz w:val="21"/>
              </w:rPr>
              <w:t>地址：</w:t>
            </w:r>
            <w:r>
              <w:rPr>
                <w:rFonts w:ascii="宋体" w:hAnsi="宋体" w:eastAsia="宋体" w:cs="宋体"/>
                <w:sz w:val="21"/>
                <w:lang w:eastAsia="zh-CN"/>
              </w:rPr>
              <w:t>广州市海珠区新港西路114号</w:t>
            </w:r>
          </w:p>
          <w:p w14:paraId="0B9E5E1E">
            <w:pPr>
              <w:pStyle w:val="12"/>
              <w:rPr>
                <w:rFonts w:hint="default" w:ascii="宋体" w:hAnsi="宋体" w:eastAsia="宋体" w:cs="宋体"/>
                <w:lang w:val="en-US" w:eastAsia="zh-CN"/>
              </w:rPr>
            </w:pPr>
            <w:r>
              <w:rPr>
                <w:rFonts w:ascii="宋体" w:hAnsi="宋体" w:eastAsia="宋体" w:cs="宋体"/>
                <w:sz w:val="21"/>
              </w:rPr>
              <w:t>电话：</w:t>
            </w:r>
            <w:r>
              <w:rPr>
                <w:rFonts w:ascii="宋体" w:hAnsi="宋体" w:eastAsia="宋体" w:cs="宋体"/>
                <w:sz w:val="21"/>
                <w:lang w:eastAsia="zh-CN"/>
              </w:rPr>
              <w:t>020-84187600-26</w:t>
            </w:r>
            <w:r>
              <w:rPr>
                <w:rFonts w:hint="eastAsia" w:ascii="宋体" w:hAnsi="宋体" w:eastAsia="宋体" w:cs="宋体"/>
                <w:sz w:val="21"/>
                <w:lang w:val="en-US" w:eastAsia="zh-CN"/>
              </w:rPr>
              <w:t>09</w:t>
            </w:r>
          </w:p>
          <w:p w14:paraId="6AAF07CB">
            <w:pPr>
              <w:pStyle w:val="12"/>
              <w:rPr>
                <w:rFonts w:ascii="宋体" w:hAnsi="宋体" w:eastAsia="宋体" w:cs="宋体"/>
                <w:lang w:eastAsia="zh-CN"/>
              </w:rPr>
            </w:pPr>
            <w:r>
              <w:rPr>
                <w:rFonts w:ascii="宋体" w:hAnsi="宋体" w:eastAsia="宋体" w:cs="宋体"/>
                <w:sz w:val="21"/>
              </w:rPr>
              <w:t>传真：</w:t>
            </w:r>
            <w:r>
              <w:rPr>
                <w:rFonts w:ascii="宋体" w:hAnsi="宋体" w:eastAsia="宋体" w:cs="宋体"/>
                <w:sz w:val="21"/>
                <w:lang w:eastAsia="zh-CN"/>
              </w:rPr>
              <w:t>/</w:t>
            </w:r>
          </w:p>
          <w:p w14:paraId="43A3D73E">
            <w:pPr>
              <w:pStyle w:val="12"/>
              <w:rPr>
                <w:rFonts w:ascii="宋体" w:hAnsi="宋体" w:eastAsia="宋体" w:cs="宋体"/>
              </w:rPr>
            </w:pPr>
            <w:r>
              <w:rPr>
                <w:rFonts w:ascii="宋体" w:hAnsi="宋体" w:eastAsia="宋体" w:cs="宋体"/>
                <w:sz w:val="21"/>
              </w:rPr>
              <w:t>日期：</w:t>
            </w:r>
            <w:r>
              <w:rPr>
                <w:rFonts w:ascii="宋体" w:hAnsi="宋体" w:eastAsia="宋体" w:cs="宋体"/>
                <w:sz w:val="19"/>
                <w:lang w:eastAsia="zh-CN"/>
              </w:rPr>
              <w:t>2026</w:t>
            </w:r>
            <w:r>
              <w:rPr>
                <w:rFonts w:ascii="宋体" w:hAnsi="宋体" w:eastAsia="宋体" w:cs="宋体"/>
                <w:sz w:val="21"/>
              </w:rPr>
              <w:t>年</w:t>
            </w:r>
            <w:r>
              <w:rPr>
                <w:rFonts w:ascii="宋体" w:hAnsi="宋体" w:eastAsia="宋体" w:cs="宋体"/>
                <w:sz w:val="19"/>
              </w:rPr>
              <w:t xml:space="preserve">     </w:t>
            </w:r>
            <w:r>
              <w:rPr>
                <w:rFonts w:ascii="宋体" w:hAnsi="宋体" w:eastAsia="宋体" w:cs="宋体"/>
                <w:sz w:val="21"/>
              </w:rPr>
              <w:t>月</w:t>
            </w:r>
            <w:r>
              <w:rPr>
                <w:rFonts w:ascii="宋体" w:hAnsi="宋体" w:eastAsia="宋体" w:cs="宋体"/>
                <w:sz w:val="19"/>
              </w:rPr>
              <w:t xml:space="preserve">    </w:t>
            </w:r>
            <w:r>
              <w:rPr>
                <w:rFonts w:ascii="宋体" w:hAnsi="宋体" w:eastAsia="宋体" w:cs="宋体"/>
                <w:sz w:val="21"/>
              </w:rPr>
              <w:t>日</w:t>
            </w:r>
          </w:p>
        </w:tc>
        <w:tc>
          <w:tcPr>
            <w:tcW w:w="3904" w:type="dxa"/>
            <w:tcBorders>
              <w:top w:val="nil"/>
              <w:left w:val="nil"/>
              <w:bottom w:val="nil"/>
              <w:right w:val="nil"/>
            </w:tcBorders>
            <w:tcMar>
              <w:top w:w="0" w:type="dxa"/>
              <w:left w:w="105" w:type="dxa"/>
              <w:bottom w:w="0" w:type="dxa"/>
              <w:right w:w="105" w:type="dxa"/>
            </w:tcMar>
          </w:tcPr>
          <w:p w14:paraId="2FC606BD">
            <w:pPr>
              <w:pStyle w:val="12"/>
              <w:rPr>
                <w:rFonts w:ascii="宋体" w:hAnsi="宋体" w:eastAsia="宋体" w:cs="宋体"/>
                <w:b/>
                <w:sz w:val="21"/>
                <w:u w:val="single"/>
                <w:lang w:eastAsia="zh-CN"/>
              </w:rPr>
            </w:pPr>
            <w:r>
              <w:rPr>
                <w:rFonts w:ascii="宋体" w:hAnsi="宋体" w:eastAsia="宋体" w:cs="宋体"/>
                <w:b/>
                <w:sz w:val="21"/>
              </w:rPr>
              <w:t>乙方（盖章）：</w:t>
            </w:r>
            <w:r>
              <w:rPr>
                <w:rFonts w:hint="eastAsia" w:ascii="宋体" w:hAnsi="宋体" w:eastAsia="宋体" w:cs="宋体"/>
                <w:b/>
                <w:sz w:val="21"/>
                <w:lang w:val="en-US" w:eastAsia="zh-CN"/>
              </w:rPr>
              <w:t>XX</w:t>
            </w:r>
            <w:r>
              <w:rPr>
                <w:rFonts w:ascii="宋体" w:hAnsi="宋体" w:eastAsia="宋体" w:cs="宋体"/>
                <w:b/>
                <w:sz w:val="21"/>
                <w:lang w:eastAsia="zh-CN"/>
              </w:rPr>
              <w:t>公司</w:t>
            </w:r>
          </w:p>
          <w:p w14:paraId="171A2EE5">
            <w:pPr>
              <w:pStyle w:val="12"/>
              <w:rPr>
                <w:rFonts w:ascii="宋体" w:hAnsi="宋体" w:eastAsia="宋体" w:cs="宋体"/>
                <w:sz w:val="21"/>
              </w:rPr>
            </w:pPr>
            <w:r>
              <w:rPr>
                <w:rFonts w:ascii="宋体" w:hAnsi="宋体" w:eastAsia="宋体" w:cs="宋体"/>
                <w:sz w:val="21"/>
              </w:rPr>
              <w:t xml:space="preserve">代表： </w:t>
            </w:r>
          </w:p>
          <w:p w14:paraId="7163AF7A">
            <w:pPr>
              <w:pStyle w:val="12"/>
              <w:rPr>
                <w:rFonts w:ascii="宋体" w:hAnsi="宋体" w:eastAsia="宋体" w:cs="宋体"/>
              </w:rPr>
            </w:pPr>
            <w:r>
              <w:rPr>
                <w:rFonts w:ascii="宋体" w:hAnsi="宋体" w:eastAsia="宋体" w:cs="宋体"/>
                <w:sz w:val="21"/>
              </w:rPr>
              <w:t xml:space="preserve">                 </w:t>
            </w:r>
          </w:p>
          <w:p w14:paraId="7C4FEDD2">
            <w:pPr>
              <w:pStyle w:val="12"/>
              <w:jc w:val="both"/>
              <w:rPr>
                <w:rFonts w:ascii="宋体" w:hAnsi="宋体" w:eastAsia="宋体" w:cs="宋体"/>
              </w:rPr>
            </w:pPr>
            <w:r>
              <w:rPr>
                <w:rFonts w:ascii="宋体" w:hAnsi="宋体" w:eastAsia="宋体" w:cs="宋体"/>
                <w:sz w:val="21"/>
              </w:rPr>
              <w:t>地址：</w:t>
            </w:r>
          </w:p>
          <w:p w14:paraId="71E7A1A4">
            <w:pPr>
              <w:pStyle w:val="12"/>
              <w:rPr>
                <w:rFonts w:ascii="宋体" w:hAnsi="宋体" w:eastAsia="宋体" w:cs="宋体"/>
                <w:sz w:val="19"/>
                <w:u w:val="single"/>
              </w:rPr>
            </w:pPr>
            <w:r>
              <w:rPr>
                <w:rFonts w:ascii="宋体" w:hAnsi="宋体" w:eastAsia="宋体" w:cs="宋体"/>
                <w:sz w:val="21"/>
              </w:rPr>
              <w:t xml:space="preserve">电话：  </w:t>
            </w:r>
          </w:p>
          <w:p w14:paraId="13567112">
            <w:pPr>
              <w:pStyle w:val="12"/>
              <w:rPr>
                <w:rFonts w:ascii="宋体" w:hAnsi="宋体" w:eastAsia="宋体" w:cs="宋体"/>
              </w:rPr>
            </w:pPr>
            <w:r>
              <w:rPr>
                <w:rFonts w:ascii="宋体" w:hAnsi="宋体" w:eastAsia="宋体" w:cs="宋体"/>
                <w:sz w:val="21"/>
              </w:rPr>
              <w:t>传真：</w:t>
            </w:r>
          </w:p>
          <w:p w14:paraId="586B085F">
            <w:pPr>
              <w:pStyle w:val="12"/>
              <w:rPr>
                <w:rFonts w:ascii="宋体" w:hAnsi="宋体" w:eastAsia="宋体" w:cs="宋体"/>
              </w:rPr>
            </w:pPr>
            <w:r>
              <w:rPr>
                <w:rFonts w:ascii="宋体" w:hAnsi="宋体" w:eastAsia="宋体" w:cs="宋体"/>
                <w:sz w:val="21"/>
              </w:rPr>
              <w:t>日期：</w:t>
            </w:r>
            <w:r>
              <w:rPr>
                <w:rFonts w:ascii="宋体" w:hAnsi="宋体" w:eastAsia="宋体" w:cs="宋体"/>
                <w:sz w:val="19"/>
                <w:lang w:eastAsia="zh-CN"/>
              </w:rPr>
              <w:t>2026</w:t>
            </w:r>
            <w:r>
              <w:rPr>
                <w:rFonts w:ascii="宋体" w:hAnsi="宋体" w:eastAsia="宋体" w:cs="宋体"/>
                <w:sz w:val="21"/>
              </w:rPr>
              <w:t>年</w:t>
            </w:r>
            <w:r>
              <w:rPr>
                <w:rFonts w:ascii="宋体" w:hAnsi="宋体" w:eastAsia="宋体" w:cs="宋体"/>
                <w:sz w:val="19"/>
              </w:rPr>
              <w:t xml:space="preserve">     </w:t>
            </w:r>
            <w:r>
              <w:rPr>
                <w:rFonts w:ascii="宋体" w:hAnsi="宋体" w:eastAsia="宋体" w:cs="宋体"/>
                <w:sz w:val="21"/>
              </w:rPr>
              <w:t>月</w:t>
            </w:r>
            <w:r>
              <w:rPr>
                <w:rFonts w:ascii="宋体" w:hAnsi="宋体" w:eastAsia="宋体" w:cs="宋体"/>
                <w:sz w:val="19"/>
              </w:rPr>
              <w:t xml:space="preserve">     </w:t>
            </w:r>
            <w:r>
              <w:rPr>
                <w:rFonts w:ascii="宋体" w:hAnsi="宋体" w:eastAsia="宋体" w:cs="宋体"/>
                <w:sz w:val="21"/>
              </w:rPr>
              <w:t>日</w:t>
            </w:r>
          </w:p>
        </w:tc>
        <w:tc>
          <w:tcPr>
            <w:tcW w:w="195" w:type="dxa"/>
            <w:tcBorders>
              <w:top w:val="nil"/>
              <w:left w:val="nil"/>
              <w:bottom w:val="nil"/>
              <w:right w:val="nil"/>
            </w:tcBorders>
          </w:tcPr>
          <w:p w14:paraId="4E711334">
            <w:pPr>
              <w:pStyle w:val="12"/>
              <w:rPr>
                <w:rFonts w:ascii="宋体" w:hAnsi="宋体" w:eastAsia="宋体" w:cs="宋体"/>
              </w:rPr>
            </w:pPr>
            <w:r>
              <w:rPr>
                <w:rFonts w:ascii="宋体" w:hAnsi="宋体" w:eastAsia="宋体" w:cs="宋体"/>
                <w:sz w:val="19"/>
              </w:rPr>
              <w:t xml:space="preserve"> </w:t>
            </w:r>
          </w:p>
        </w:tc>
      </w:tr>
      <w:tr w14:paraId="2916C1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79" w:type="dxa"/>
            <w:tcBorders>
              <w:top w:val="nil"/>
              <w:left w:val="nil"/>
              <w:bottom w:val="single" w:color="FFFFFF" w:sz="4" w:space="0"/>
              <w:right w:val="dashed" w:color="000000" w:sz="4" w:space="0"/>
            </w:tcBorders>
            <w:tcMar>
              <w:top w:w="0" w:type="dxa"/>
              <w:left w:w="105" w:type="dxa"/>
              <w:bottom w:w="0" w:type="dxa"/>
              <w:right w:w="105" w:type="dxa"/>
            </w:tcMar>
          </w:tcPr>
          <w:p w14:paraId="1EDBA393">
            <w:pPr>
              <w:pStyle w:val="12"/>
              <w:rPr>
                <w:rFonts w:ascii="宋体" w:hAnsi="宋体" w:eastAsia="宋体" w:cs="宋体"/>
              </w:rPr>
            </w:pPr>
          </w:p>
        </w:tc>
        <w:tc>
          <w:tcPr>
            <w:tcW w:w="4099" w:type="dxa"/>
            <w:gridSpan w:val="2"/>
            <w:tcBorders>
              <w:top w:val="nil"/>
              <w:left w:val="nil"/>
              <w:bottom w:val="single" w:color="FFFFFF" w:sz="4" w:space="0"/>
              <w:right w:val="nil"/>
            </w:tcBorders>
            <w:tcMar>
              <w:top w:w="0" w:type="dxa"/>
              <w:left w:w="105" w:type="dxa"/>
              <w:bottom w:w="0" w:type="dxa"/>
              <w:right w:w="105" w:type="dxa"/>
            </w:tcMar>
          </w:tcPr>
          <w:p w14:paraId="7F99AF06">
            <w:pPr>
              <w:pStyle w:val="12"/>
              <w:rPr>
                <w:rFonts w:ascii="宋体" w:hAnsi="宋体" w:eastAsia="宋体" w:cs="宋体"/>
                <w:bCs/>
                <w:sz w:val="21"/>
                <w:lang w:eastAsia="zh-CN"/>
              </w:rPr>
            </w:pPr>
          </w:p>
          <w:p w14:paraId="691CAEFD">
            <w:pPr>
              <w:pStyle w:val="12"/>
              <w:rPr>
                <w:rFonts w:ascii="宋体" w:hAnsi="宋体" w:eastAsia="宋体" w:cs="宋体"/>
                <w:bCs/>
                <w:sz w:val="21"/>
                <w:lang w:eastAsia="zh-CN"/>
              </w:rPr>
            </w:pPr>
            <w:r>
              <w:rPr>
                <w:rFonts w:ascii="宋体" w:hAnsi="宋体" w:eastAsia="宋体" w:cs="宋体"/>
                <w:bCs/>
                <w:sz w:val="21"/>
                <w:lang w:eastAsia="zh-CN"/>
              </w:rPr>
              <w:t>收款方、开票方须与乙方一致，专户为：</w:t>
            </w:r>
          </w:p>
          <w:p w14:paraId="46D01658">
            <w:pPr>
              <w:pStyle w:val="12"/>
              <w:rPr>
                <w:rFonts w:ascii="宋体" w:hAnsi="宋体" w:eastAsia="宋体" w:cs="宋体"/>
                <w:bCs/>
                <w:sz w:val="21"/>
                <w:lang w:eastAsia="zh-CN"/>
              </w:rPr>
            </w:pPr>
            <w:r>
              <w:rPr>
                <w:rFonts w:ascii="宋体" w:hAnsi="宋体" w:eastAsia="宋体" w:cs="宋体"/>
                <w:bCs/>
                <w:sz w:val="21"/>
                <w:lang w:eastAsia="zh-CN"/>
              </w:rPr>
              <w:t>开户名称：</w:t>
            </w:r>
          </w:p>
          <w:p w14:paraId="6ED86DE8">
            <w:pPr>
              <w:pStyle w:val="12"/>
              <w:rPr>
                <w:rFonts w:ascii="宋体" w:hAnsi="宋体" w:eastAsia="宋体" w:cs="宋体"/>
                <w:bCs/>
                <w:sz w:val="21"/>
                <w:lang w:eastAsia="zh-CN"/>
              </w:rPr>
            </w:pPr>
            <w:r>
              <w:rPr>
                <w:rFonts w:ascii="宋体" w:hAnsi="宋体" w:eastAsia="宋体" w:cs="宋体"/>
                <w:bCs/>
                <w:sz w:val="21"/>
                <w:lang w:eastAsia="zh-CN"/>
              </w:rPr>
              <w:t>银行账号：</w:t>
            </w:r>
          </w:p>
          <w:p w14:paraId="3E326264">
            <w:pPr>
              <w:pStyle w:val="12"/>
              <w:rPr>
                <w:rFonts w:ascii="宋体" w:hAnsi="宋体" w:eastAsia="宋体" w:cs="宋体"/>
                <w:bCs/>
                <w:sz w:val="21"/>
                <w:lang w:eastAsia="zh-CN"/>
              </w:rPr>
            </w:pPr>
            <w:r>
              <w:rPr>
                <w:rFonts w:ascii="宋体" w:hAnsi="宋体" w:eastAsia="宋体" w:cs="宋体"/>
                <w:bCs/>
                <w:sz w:val="21"/>
                <w:lang w:eastAsia="zh-CN"/>
              </w:rPr>
              <w:t>开 户 行：</w:t>
            </w:r>
          </w:p>
        </w:tc>
      </w:tr>
    </w:tbl>
    <w:p w14:paraId="241AEF82">
      <w:pPr>
        <w:pStyle w:val="12"/>
        <w:rPr>
          <w:rFonts w:ascii="宋体" w:hAnsi="宋体" w:eastAsia="宋体" w:cs="宋体"/>
        </w:rPr>
      </w:pPr>
      <w:r>
        <w:rPr>
          <w:rFonts w:ascii="宋体" w:hAnsi="宋体" w:eastAsia="宋体" w:cs="宋体"/>
          <w:b/>
          <w:sz w:val="21"/>
        </w:rPr>
        <w:t>签约地点：广州</w:t>
      </w:r>
    </w:p>
    <w:p w14:paraId="46B5F7EB">
      <w:pPr>
        <w:rPr>
          <w:rFonts w:hint="eastAsia" w:ascii="宋体" w:hAnsi="宋体" w:eastAsia="宋体" w:cs="宋体"/>
          <w:sz w:val="32"/>
        </w:rPr>
      </w:pPr>
      <w:r>
        <w:rPr>
          <w:rFonts w:hint="eastAsia" w:ascii="宋体" w:hAnsi="宋体" w:eastAsia="宋体" w:cs="宋体"/>
          <w:sz w:val="32"/>
        </w:rPr>
        <w:br w:type="page"/>
      </w:r>
    </w:p>
    <w:p w14:paraId="5DC267E8">
      <w:pPr>
        <w:pStyle w:val="2"/>
        <w:rPr>
          <w:rFonts w:hint="eastAsia" w:ascii="宋体" w:hAnsi="宋体" w:eastAsia="宋体" w:cs="宋体"/>
          <w:kern w:val="2"/>
          <w:sz w:val="28"/>
          <w:szCs w:val="22"/>
          <w:lang w:val="en-US" w:eastAsia="zh-CN" w:bidi="ar-SA"/>
        </w:rPr>
      </w:pPr>
      <w:r>
        <w:rPr>
          <w:rFonts w:hint="eastAsia" w:ascii="宋体" w:hAnsi="宋体" w:eastAsia="宋体" w:cs="宋体"/>
          <w:kern w:val="2"/>
          <w:sz w:val="28"/>
          <w:szCs w:val="22"/>
          <w:lang w:val="en-US" w:eastAsia="zh-CN" w:bidi="ar-SA"/>
        </w:rPr>
        <w:t>附件：用户需求书</w:t>
      </w:r>
    </w:p>
    <w:tbl>
      <w:tblPr>
        <w:tblStyle w:val="8"/>
        <w:tblW w:w="8800" w:type="dxa"/>
        <w:tblInd w:w="134" w:type="dxa"/>
        <w:tblLayout w:type="fixed"/>
        <w:tblCellMar>
          <w:top w:w="0" w:type="dxa"/>
          <w:left w:w="108" w:type="dxa"/>
          <w:bottom w:w="0" w:type="dxa"/>
          <w:right w:w="108" w:type="dxa"/>
        </w:tblCellMar>
      </w:tblPr>
      <w:tblGrid>
        <w:gridCol w:w="489"/>
        <w:gridCol w:w="81"/>
        <w:gridCol w:w="673"/>
        <w:gridCol w:w="36"/>
        <w:gridCol w:w="850"/>
        <w:gridCol w:w="90"/>
        <w:gridCol w:w="6581"/>
      </w:tblGrid>
      <w:tr w14:paraId="7D0EB787">
        <w:tblPrEx>
          <w:tblCellMar>
            <w:top w:w="0" w:type="dxa"/>
            <w:left w:w="108" w:type="dxa"/>
            <w:bottom w:w="0" w:type="dxa"/>
            <w:right w:w="108" w:type="dxa"/>
          </w:tblCellMar>
        </w:tblPrEx>
        <w:trPr>
          <w:trHeight w:val="577" w:hRule="atLeast"/>
        </w:trPr>
        <w:tc>
          <w:tcPr>
            <w:tcW w:w="8800" w:type="dxa"/>
            <w:gridSpan w:val="7"/>
            <w:tcBorders>
              <w:top w:val="single" w:color="auto" w:sz="4" w:space="0"/>
              <w:left w:val="single" w:color="auto" w:sz="4" w:space="0"/>
              <w:bottom w:val="single" w:color="auto" w:sz="4" w:space="0"/>
              <w:right w:val="single" w:color="auto" w:sz="4" w:space="0"/>
            </w:tcBorders>
            <w:noWrap/>
            <w:vAlign w:val="center"/>
          </w:tcPr>
          <w:p w14:paraId="144DDFC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32"/>
                <w:szCs w:val="32"/>
                <w14:ligatures w14:val="none"/>
              </w:rPr>
            </w:pPr>
            <w:r>
              <w:rPr>
                <w:rFonts w:hint="default" w:ascii="Times New Roman" w:hAnsi="Times New Roman" w:eastAsia="宋体" w:cs="Times New Roman"/>
                <w:b/>
                <w:bCs/>
                <w:color w:val="000000"/>
                <w:kern w:val="0"/>
                <w:sz w:val="32"/>
                <w:szCs w:val="32"/>
                <w14:ligatures w14:val="none"/>
              </w:rPr>
              <w:t>软件需求</w:t>
            </w:r>
          </w:p>
        </w:tc>
      </w:tr>
      <w:tr w14:paraId="26026E64">
        <w:tblPrEx>
          <w:tblCellMar>
            <w:top w:w="0" w:type="dxa"/>
            <w:left w:w="108" w:type="dxa"/>
            <w:bottom w:w="0" w:type="dxa"/>
            <w:right w:w="108" w:type="dxa"/>
          </w:tblCellMar>
        </w:tblPrEx>
        <w:trPr>
          <w:trHeight w:val="716" w:hRule="atLeast"/>
        </w:trPr>
        <w:tc>
          <w:tcPr>
            <w:tcW w:w="570" w:type="dxa"/>
            <w:gridSpan w:val="2"/>
            <w:tcBorders>
              <w:top w:val="nil"/>
              <w:left w:val="single" w:color="auto" w:sz="4" w:space="0"/>
              <w:bottom w:val="single" w:color="auto" w:sz="4" w:space="0"/>
              <w:right w:val="single" w:color="auto" w:sz="4" w:space="0"/>
            </w:tcBorders>
            <w:vAlign w:val="center"/>
          </w:tcPr>
          <w:p w14:paraId="4082658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序号</w:t>
            </w:r>
          </w:p>
        </w:tc>
        <w:tc>
          <w:tcPr>
            <w:tcW w:w="709" w:type="dxa"/>
            <w:gridSpan w:val="2"/>
            <w:tcBorders>
              <w:top w:val="nil"/>
              <w:left w:val="nil"/>
              <w:bottom w:val="single" w:color="auto" w:sz="4" w:space="0"/>
              <w:right w:val="single" w:color="auto" w:sz="4" w:space="0"/>
            </w:tcBorders>
            <w:vAlign w:val="center"/>
          </w:tcPr>
          <w:p w14:paraId="34D33CE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系统模块</w:t>
            </w:r>
          </w:p>
        </w:tc>
        <w:tc>
          <w:tcPr>
            <w:tcW w:w="850" w:type="dxa"/>
            <w:tcBorders>
              <w:top w:val="nil"/>
              <w:left w:val="nil"/>
              <w:bottom w:val="single" w:color="auto" w:sz="4" w:space="0"/>
              <w:right w:val="single" w:color="auto" w:sz="4" w:space="0"/>
            </w:tcBorders>
            <w:vAlign w:val="center"/>
          </w:tcPr>
          <w:p w14:paraId="54EF17D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系统功能</w:t>
            </w:r>
          </w:p>
        </w:tc>
        <w:tc>
          <w:tcPr>
            <w:tcW w:w="6671" w:type="dxa"/>
            <w:gridSpan w:val="2"/>
            <w:tcBorders>
              <w:top w:val="nil"/>
              <w:left w:val="nil"/>
              <w:bottom w:val="single" w:color="auto" w:sz="4" w:space="0"/>
              <w:right w:val="single" w:color="auto" w:sz="4" w:space="0"/>
            </w:tcBorders>
            <w:vAlign w:val="center"/>
          </w:tcPr>
          <w:p w14:paraId="33F0BC26">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b/>
                <w:bCs/>
                <w:color w:val="000000"/>
                <w:kern w:val="0"/>
                <w:sz w:val="24"/>
                <w14:ligatures w14:val="none"/>
              </w:rPr>
            </w:pPr>
            <w:r>
              <w:rPr>
                <w:rFonts w:hint="default" w:ascii="Times New Roman" w:hAnsi="Times New Roman" w:eastAsia="宋体" w:cs="Times New Roman"/>
                <w:b/>
                <w:bCs/>
                <w:color w:val="000000"/>
                <w:kern w:val="0"/>
                <w:sz w:val="24"/>
                <w14:ligatures w14:val="none"/>
              </w:rPr>
              <w:t>功能概要</w:t>
            </w:r>
          </w:p>
        </w:tc>
      </w:tr>
      <w:tr w14:paraId="61D62A2B">
        <w:tblPrEx>
          <w:tblCellMar>
            <w:top w:w="0" w:type="dxa"/>
            <w:left w:w="108" w:type="dxa"/>
            <w:bottom w:w="0" w:type="dxa"/>
            <w:right w:w="108" w:type="dxa"/>
          </w:tblCellMar>
        </w:tblPrEx>
        <w:trPr>
          <w:trHeight w:val="483" w:hRule="atLeast"/>
        </w:trPr>
        <w:tc>
          <w:tcPr>
            <w:tcW w:w="570" w:type="dxa"/>
            <w:gridSpan w:val="2"/>
            <w:vMerge w:val="restart"/>
            <w:tcBorders>
              <w:top w:val="nil"/>
              <w:left w:val="single" w:color="auto" w:sz="4" w:space="0"/>
              <w:bottom w:val="single" w:color="auto" w:sz="4" w:space="0"/>
              <w:right w:val="single" w:color="auto" w:sz="4" w:space="0"/>
            </w:tcBorders>
            <w:vAlign w:val="center"/>
          </w:tcPr>
          <w:p w14:paraId="1793738C">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1</w:t>
            </w:r>
          </w:p>
        </w:tc>
        <w:tc>
          <w:tcPr>
            <w:tcW w:w="709" w:type="dxa"/>
            <w:gridSpan w:val="2"/>
            <w:vMerge w:val="restart"/>
            <w:tcBorders>
              <w:top w:val="nil"/>
              <w:left w:val="single" w:color="auto" w:sz="4" w:space="0"/>
              <w:bottom w:val="single" w:color="auto" w:sz="4" w:space="0"/>
              <w:right w:val="single" w:color="auto" w:sz="4" w:space="0"/>
            </w:tcBorders>
            <w:vAlign w:val="center"/>
          </w:tcPr>
          <w:p w14:paraId="1502A58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长者档案管理系统</w:t>
            </w:r>
          </w:p>
        </w:tc>
        <w:tc>
          <w:tcPr>
            <w:tcW w:w="850" w:type="dxa"/>
            <w:tcBorders>
              <w:top w:val="nil"/>
              <w:left w:val="nil"/>
              <w:bottom w:val="single" w:color="auto" w:sz="4" w:space="0"/>
              <w:right w:val="single" w:color="auto" w:sz="4" w:space="0"/>
            </w:tcBorders>
            <w:vAlign w:val="center"/>
          </w:tcPr>
          <w:p w14:paraId="038DDB0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长者信息查询</w:t>
            </w:r>
          </w:p>
        </w:tc>
        <w:tc>
          <w:tcPr>
            <w:tcW w:w="6671" w:type="dxa"/>
            <w:gridSpan w:val="2"/>
            <w:tcBorders>
              <w:top w:val="nil"/>
              <w:left w:val="nil"/>
              <w:bottom w:val="single" w:color="auto" w:sz="4" w:space="0"/>
              <w:right w:val="single" w:color="auto" w:sz="4" w:space="0"/>
            </w:tcBorders>
            <w:shd w:val="clear" w:color="000000" w:fill="FFFFFF"/>
            <w:vAlign w:val="center"/>
          </w:tcPr>
          <w:p w14:paraId="2E3FF0F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▲1、系统支持新增长者档案，涵盖姓名、长者特征、病理类型、出生年月、性别、身高、体重、联系电话、居家住址、身份证号、备注等信息字段。（需提供产品相关截图证明，并加盖原厂公章证明）</w:t>
            </w:r>
          </w:p>
          <w:p w14:paraId="773875B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2、档案列表页提供查看按钮，可查阅档案详情，涵盖基本信息、居住信息、健康信息等内容。</w:t>
            </w:r>
          </w:p>
          <w:p w14:paraId="636F3B0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3、支持对档案信息修改，如基本信息，详细信息，居住信息，家庭成员，健康情况，长者资料文件。</w:t>
            </w:r>
          </w:p>
          <w:p w14:paraId="5768C93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4、支持新增家庭成员信息，涵盖手机号、姓名昵称、身份证号、性别、出生年月、身高体重、现居地址、详细地址、备注及与长者关系等字段。</w:t>
            </w:r>
          </w:p>
          <w:p w14:paraId="65F4D7A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▲5、支持对档案详情下健康信息添加</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如饮食习惯、饮酒习惯、抽烟习惯、体育锻炼习惯、睡眠习惯、是否长期用药等信息。（需提供产品相关截图证明，并加盖原厂公章证明）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▲6、支持对档案详情下长者资料文件上传，字段信息有文件类型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文件名称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上传人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备注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操作等信息。（需提供产品相关截图证明，并加盖原厂公章证明）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Cs w:val="22"/>
                <w:lang w:val="en-US" w:eastAsia="zh-CN"/>
                <w14:ligatures w14:val="none"/>
              </w:rPr>
              <w:t>7</w:t>
            </w:r>
            <w:r>
              <w:rPr>
                <w:rFonts w:hint="default" w:ascii="Times New Roman" w:hAnsi="Times New Roman" w:eastAsia="宋体" w:cs="Times New Roman"/>
                <w:color w:val="000000"/>
                <w:kern w:val="0"/>
                <w:szCs w:val="22"/>
                <w14:ligatures w14:val="none"/>
              </w:rPr>
              <w:t>、支持查询修改删除操作以及批量导出，查询条件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长者编号、长者姓名、电话、身份证号等信息。（需提供产品相关截图证明，并加盖原厂公章证明）</w:t>
            </w:r>
          </w:p>
        </w:tc>
      </w:tr>
      <w:tr w14:paraId="0C990A47">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3E228D8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7D6866D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A1EDE4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长者体检记录</w:t>
            </w:r>
          </w:p>
        </w:tc>
        <w:tc>
          <w:tcPr>
            <w:tcW w:w="6671" w:type="dxa"/>
            <w:gridSpan w:val="2"/>
            <w:tcBorders>
              <w:top w:val="nil"/>
              <w:left w:val="nil"/>
              <w:bottom w:val="single" w:color="auto" w:sz="4" w:space="0"/>
              <w:right w:val="single" w:color="auto" w:sz="4" w:space="0"/>
            </w:tcBorders>
            <w:shd w:val="clear" w:color="000000" w:fill="FFFFFF"/>
            <w:vAlign w:val="center"/>
          </w:tcPr>
          <w:p w14:paraId="44B772C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14:ligatures w14:val="none"/>
              </w:rPr>
              <w:t>▲1、支持由机构资料整理者对长者的体检报告进行上传，文件类型支持“PDF/图片”</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上传需填写字段信息有：长者信息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体检机构信息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体检套餐信息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体检日期信息、上传文件报告。（需提供产品相关截图证明，并加盖原厂公章证明）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▲2、支持对体检报告PDF/图片信息查看，可对PDF/图片数据信息进行修改。（需提供产品相关截图证明，并加盖原厂公章证明）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3、支持对已上传体检报告记录进行增删改查，查询条件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体检时间信息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体检套餐信息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体检机构信息</w:t>
            </w:r>
            <w:r>
              <w:rPr>
                <w:rFonts w:hint="default" w:ascii="Times New Roman" w:hAnsi="Times New Roman" w:eastAsia="宋体" w:cs="Times New Roman"/>
                <w:color w:val="000000"/>
                <w:kern w:val="0"/>
                <w:szCs w:val="22"/>
                <w:lang w:eastAsia="zh-CN"/>
                <w14:ligatures w14:val="none"/>
              </w:rPr>
              <w:t>。</w:t>
            </w:r>
          </w:p>
        </w:tc>
      </w:tr>
      <w:tr w14:paraId="2A2F8518">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4068412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4E887D1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796B8D4">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长者门诊记录</w:t>
            </w:r>
          </w:p>
        </w:tc>
        <w:tc>
          <w:tcPr>
            <w:tcW w:w="6671" w:type="dxa"/>
            <w:gridSpan w:val="2"/>
            <w:tcBorders>
              <w:top w:val="nil"/>
              <w:left w:val="nil"/>
              <w:bottom w:val="single" w:color="auto" w:sz="4" w:space="0"/>
              <w:right w:val="single" w:color="auto" w:sz="4" w:space="0"/>
            </w:tcBorders>
            <w:shd w:val="clear" w:color="000000" w:fill="FFFFFF"/>
            <w:vAlign w:val="center"/>
          </w:tcPr>
          <w:p w14:paraId="24015CE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支持机构资料整理者上传长者门诊病历报告，文件支持PDF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图片格式；需填报长者姓名、就诊医院、门诊编号、门诊日期、门诊医生、门诊科室、门诊诊断、病历名称，并上传病历文件。</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2、支持对门诊病历的PDF/图片信息查看，可对PDF/图片数据信息进行修改。</w:t>
            </w:r>
          </w:p>
          <w:p w14:paraId="4500468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▲3、支持对已上传门诊病历报告记录进行增删改查，可按门诊时间、长者编号、长者姓名、门诊编号、门诊医生、门诊诊断、病历名称作为查询条件筛选。（需提供产品相关截图证明，并加盖原厂公章证明）</w:t>
            </w:r>
          </w:p>
        </w:tc>
      </w:tr>
      <w:tr w14:paraId="29E62A21">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3137181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CCF532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3F2AABC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长者住院记录</w:t>
            </w:r>
          </w:p>
        </w:tc>
        <w:tc>
          <w:tcPr>
            <w:tcW w:w="6671" w:type="dxa"/>
            <w:gridSpan w:val="2"/>
            <w:tcBorders>
              <w:top w:val="nil"/>
              <w:left w:val="nil"/>
              <w:bottom w:val="single" w:color="auto" w:sz="4" w:space="0"/>
              <w:right w:val="single" w:color="auto" w:sz="4" w:space="0"/>
            </w:tcBorders>
            <w:shd w:val="clear" w:color="000000" w:fill="FFFFFF"/>
            <w:vAlign w:val="center"/>
          </w:tcPr>
          <w:p w14:paraId="4131F59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▲1、支持机构资料整理者上传长者住院病历报告，文件支持PDF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图片格式；需填报长者姓名、就诊医院、住院号、住院时间、出院时间、住院医生、住院科室、住院诊断、病历名称，并上传病历文件。（需提供产品相关截图证明，并加盖原厂公章证明）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2、支持对住院病历的PDF/图片信息查看，可对PDF/图片数据信息进行修改。</w:t>
            </w:r>
          </w:p>
          <w:p w14:paraId="2F3C177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3、支持对已上传住院病历报告记录进行增删改查，查询条件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住院时间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住院医生</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住院诊断</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住院病历名称。</w:t>
            </w:r>
          </w:p>
        </w:tc>
      </w:tr>
      <w:tr w14:paraId="0F1AD5DD">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0F54484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562274A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8DA3F0B">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长者手术记录</w:t>
            </w:r>
          </w:p>
        </w:tc>
        <w:tc>
          <w:tcPr>
            <w:tcW w:w="6671" w:type="dxa"/>
            <w:gridSpan w:val="2"/>
            <w:tcBorders>
              <w:top w:val="nil"/>
              <w:left w:val="nil"/>
              <w:bottom w:val="single" w:color="auto" w:sz="4" w:space="0"/>
              <w:right w:val="single" w:color="auto" w:sz="4" w:space="0"/>
            </w:tcBorders>
            <w:shd w:val="clear" w:color="000000" w:fill="FFFFFF"/>
            <w:vAlign w:val="center"/>
          </w:tcPr>
          <w:p w14:paraId="1BEB986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▲1、支持机构资料整理者上传长者手术记录报告，文件支持PDF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图片格式；需填报长者姓名、手术医院、手术编号、手术时间、手术名称、手术医生、住院科室、手术诊断，并上传手术文件。（需提供产品相关截图证明，并加盖原厂公章证明）</w:t>
            </w:r>
          </w:p>
          <w:p w14:paraId="1187D2B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2、支持对手术文件的PDF/图片信息查看，可对PDF/图片数据信息进行修改。</w:t>
            </w:r>
          </w:p>
          <w:p w14:paraId="0C61699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▲3、支持对已上传手术记录报告进行增删改查，可按手术时间、手术编号、长者姓名、手术医生、手术诊断、手术名称作为查询条件筛选。（需提供产品相关截图证明，并加盖原厂公章证明）</w:t>
            </w:r>
          </w:p>
        </w:tc>
      </w:tr>
      <w:tr w14:paraId="2AE24353">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0187CCB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1F3F0F2D">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4302546">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长者医院报告记录</w:t>
            </w:r>
          </w:p>
        </w:tc>
        <w:tc>
          <w:tcPr>
            <w:tcW w:w="6671" w:type="dxa"/>
            <w:gridSpan w:val="2"/>
            <w:tcBorders>
              <w:top w:val="nil"/>
              <w:left w:val="nil"/>
              <w:bottom w:val="single" w:color="auto" w:sz="4" w:space="0"/>
              <w:right w:val="single" w:color="auto" w:sz="4" w:space="0"/>
            </w:tcBorders>
            <w:shd w:val="clear" w:color="000000" w:fill="FFFFFF"/>
            <w:vAlign w:val="center"/>
          </w:tcPr>
          <w:p w14:paraId="76B1772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▲1、支持机构资料整理者上传长者检验检查报告记录，文件支持PDF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图片格式；需填写长者姓名、报告医院、报告名称、报告类型、检查标本、报告医生、申请单号、申请时间、报告时间，并上传报告文件。（需提供产品相关截图证明，并加盖原厂公章证明）</w:t>
            </w:r>
          </w:p>
          <w:p w14:paraId="0EAA715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2、支持查看检验检查报告的PDF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图片文件，同时可对相关文件信息进行编辑修改。</w:t>
            </w:r>
          </w:p>
          <w:p w14:paraId="327A2B6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的医院检验、检查报告记录进行增删改查，可按报告时间、长者编号、长者姓名、申请单号、报告医生、报告名称、报告类型作为查询条件筛选。（需提供产品相关截图证明，并加盖原厂公章证明）</w:t>
            </w:r>
          </w:p>
        </w:tc>
      </w:tr>
      <w:tr w14:paraId="31597D4C">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6FFBA8B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F094DA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C4E712D">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长者用药情况</w:t>
            </w:r>
          </w:p>
        </w:tc>
        <w:tc>
          <w:tcPr>
            <w:tcW w:w="6671" w:type="dxa"/>
            <w:gridSpan w:val="2"/>
            <w:tcBorders>
              <w:top w:val="nil"/>
              <w:left w:val="nil"/>
              <w:bottom w:val="single" w:color="auto" w:sz="4" w:space="0"/>
              <w:right w:val="single" w:color="auto" w:sz="4" w:space="0"/>
            </w:tcBorders>
            <w:shd w:val="clear" w:color="000000" w:fill="FFFFFF"/>
            <w:vAlign w:val="center"/>
          </w:tcPr>
          <w:p w14:paraId="48F7E9E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▲1、支持机构资料整理者上传长者用药记录，文件支持PDF</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图片格式；需填报长者姓名、药品名称、用量、用法、用药起止日期、备注，并上传用药相关文件。（需提供产品相关截图证明，并加盖原厂公章证明）</w:t>
            </w:r>
          </w:p>
          <w:p w14:paraId="6C0CAA8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2、支持对用药的报告文件的PDF/图片信息查看，可对PDF/图片数据信息进行修改。</w:t>
            </w:r>
          </w:p>
          <w:p w14:paraId="273077A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▲3、支持对已上传用药记录进行增删改查，可按药品名称、用量、用法作为查询条件筛选。（需提供产品相关截图证明，并加盖原厂公章证明）</w:t>
            </w:r>
          </w:p>
        </w:tc>
      </w:tr>
      <w:tr w14:paraId="748F5B87">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auto" w:sz="4" w:space="0"/>
              <w:right w:val="single" w:color="auto" w:sz="4" w:space="0"/>
            </w:tcBorders>
            <w:vAlign w:val="center"/>
          </w:tcPr>
          <w:p w14:paraId="47DB1DD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auto" w:sz="4" w:space="0"/>
              <w:right w:val="single" w:color="auto" w:sz="4" w:space="0"/>
            </w:tcBorders>
            <w:vAlign w:val="center"/>
          </w:tcPr>
          <w:p w14:paraId="67E8FD4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10A970F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 xml:space="preserve">警报信息       </w:t>
            </w:r>
          </w:p>
        </w:tc>
        <w:tc>
          <w:tcPr>
            <w:tcW w:w="6671" w:type="dxa"/>
            <w:gridSpan w:val="2"/>
            <w:tcBorders>
              <w:top w:val="nil"/>
              <w:left w:val="nil"/>
              <w:bottom w:val="single" w:color="auto" w:sz="4" w:space="0"/>
              <w:right w:val="single" w:color="auto" w:sz="4" w:space="0"/>
            </w:tcBorders>
            <w:shd w:val="clear" w:color="000000" w:fill="FFFFFF"/>
            <w:vAlign w:val="center"/>
          </w:tcPr>
          <w:p w14:paraId="44FEC515">
            <w:pPr>
              <w:keepNext w:val="0"/>
              <w:keepLines w:val="0"/>
              <w:pageBreakBefore w:val="0"/>
              <w:widowControl/>
              <w:numPr>
                <w:ilvl w:val="0"/>
                <w:numId w:val="0"/>
              </w:numPr>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支持快速查询长者健康告警数据删除和查询，查询条件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告警级别</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已读状态。</w:t>
            </w:r>
          </w:p>
          <w:p w14:paraId="4210D4F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2、支持对预警信息闭环进行处理，对未处理数据进行操作。</w:t>
            </w:r>
          </w:p>
        </w:tc>
      </w:tr>
      <w:tr w14:paraId="3CB37975">
        <w:tblPrEx>
          <w:tblCellMar>
            <w:top w:w="0" w:type="dxa"/>
            <w:left w:w="108" w:type="dxa"/>
            <w:bottom w:w="0" w:type="dxa"/>
            <w:right w:w="108" w:type="dxa"/>
          </w:tblCellMar>
        </w:tblPrEx>
        <w:trPr>
          <w:trHeight w:val="450" w:hRule="atLeast"/>
        </w:trPr>
        <w:tc>
          <w:tcPr>
            <w:tcW w:w="570" w:type="dxa"/>
            <w:gridSpan w:val="2"/>
            <w:vMerge w:val="restart"/>
            <w:tcBorders>
              <w:top w:val="nil"/>
              <w:left w:val="single" w:color="auto" w:sz="4" w:space="0"/>
              <w:bottom w:val="single" w:color="000000" w:sz="4" w:space="0"/>
              <w:right w:val="single" w:color="auto" w:sz="4" w:space="0"/>
            </w:tcBorders>
            <w:vAlign w:val="center"/>
          </w:tcPr>
          <w:p w14:paraId="22F630D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2</w:t>
            </w:r>
          </w:p>
        </w:tc>
        <w:tc>
          <w:tcPr>
            <w:tcW w:w="709" w:type="dxa"/>
            <w:gridSpan w:val="2"/>
            <w:vMerge w:val="restart"/>
            <w:tcBorders>
              <w:top w:val="nil"/>
              <w:left w:val="single" w:color="auto" w:sz="4" w:space="0"/>
              <w:bottom w:val="single" w:color="000000" w:sz="4" w:space="0"/>
              <w:right w:val="single" w:color="auto" w:sz="4" w:space="0"/>
            </w:tcBorders>
            <w:vAlign w:val="center"/>
          </w:tcPr>
          <w:p w14:paraId="2E816AE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长者入住及评估管理</w:t>
            </w:r>
          </w:p>
        </w:tc>
        <w:tc>
          <w:tcPr>
            <w:tcW w:w="850" w:type="dxa"/>
            <w:tcBorders>
              <w:top w:val="nil"/>
              <w:left w:val="nil"/>
              <w:bottom w:val="single" w:color="auto" w:sz="4" w:space="0"/>
              <w:right w:val="single" w:color="auto" w:sz="4" w:space="0"/>
            </w:tcBorders>
            <w:vAlign w:val="center"/>
          </w:tcPr>
          <w:p w14:paraId="3A5A5E0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评估记录</w:t>
            </w:r>
          </w:p>
        </w:tc>
        <w:tc>
          <w:tcPr>
            <w:tcW w:w="6671" w:type="dxa"/>
            <w:gridSpan w:val="2"/>
            <w:tcBorders>
              <w:top w:val="nil"/>
              <w:left w:val="nil"/>
              <w:bottom w:val="single" w:color="auto" w:sz="4" w:space="0"/>
              <w:right w:val="single" w:color="auto" w:sz="4" w:space="0"/>
            </w:tcBorders>
            <w:shd w:val="clear" w:color="000000" w:fill="FFFFFF"/>
            <w:vAlign w:val="center"/>
          </w:tcPr>
          <w:p w14:paraId="243D73F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▲1、支持对需要进行评估的长者进行新增评估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量表类型有：</w:t>
            </w:r>
          </w:p>
          <w:p w14:paraId="3CF15DE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val="en-US" w:eastAsia="zh-CN"/>
                <w14:ligatures w14:val="none"/>
              </w:rPr>
            </w:pPr>
            <w:r>
              <w:rPr>
                <w:rFonts w:hint="default" w:ascii="Times New Roman" w:hAnsi="Times New Roman" w:eastAsia="宋体" w:cs="Times New Roman"/>
                <w:color w:val="000000"/>
                <w:kern w:val="0"/>
                <w:szCs w:val="22"/>
                <w:lang w:val="en-US" w:eastAsia="zh-CN"/>
                <w14:ligatures w14:val="none"/>
              </w:rPr>
              <w:t>1.1</w:t>
            </w:r>
            <w:r>
              <w:rPr>
                <w:rFonts w:hint="default" w:ascii="Times New Roman" w:hAnsi="Times New Roman" w:eastAsia="宋体" w:cs="Times New Roman"/>
                <w:color w:val="000000"/>
                <w:kern w:val="0"/>
                <w:szCs w:val="22"/>
                <w14:ligatures w14:val="none"/>
              </w:rPr>
              <w:t>老年人照护需求综合评估类的量表</w:t>
            </w:r>
          </w:p>
          <w:p w14:paraId="57917502">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日常生活活动能力评估信息</w:t>
            </w:r>
            <w:r>
              <w:rPr>
                <w:rFonts w:hint="default" w:ascii="Times New Roman" w:hAnsi="Times New Roman" w:eastAsia="宋体" w:cs="Times New Roman"/>
                <w:color w:val="000000"/>
                <w:kern w:val="0"/>
                <w:szCs w:val="22"/>
                <w:lang w:eastAsia="zh-CN"/>
                <w14:ligatures w14:val="none"/>
              </w:rPr>
              <w:t>；</w:t>
            </w:r>
          </w:p>
          <w:p w14:paraId="4A1FFD75">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认知能力评估信息</w:t>
            </w:r>
            <w:r>
              <w:rPr>
                <w:rFonts w:hint="default" w:ascii="Times New Roman" w:hAnsi="Times New Roman" w:eastAsia="宋体" w:cs="Times New Roman"/>
                <w:color w:val="000000"/>
                <w:kern w:val="0"/>
                <w:szCs w:val="22"/>
                <w:lang w:eastAsia="zh-CN"/>
                <w14:ligatures w14:val="none"/>
              </w:rPr>
              <w:t>；</w:t>
            </w:r>
          </w:p>
          <w:p w14:paraId="65978B5E">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感知觉与沟通能力评估信息</w:t>
            </w:r>
            <w:r>
              <w:rPr>
                <w:rFonts w:hint="default" w:ascii="Times New Roman" w:hAnsi="Times New Roman" w:eastAsia="宋体" w:cs="Times New Roman"/>
                <w:color w:val="000000"/>
                <w:kern w:val="0"/>
                <w:szCs w:val="22"/>
                <w:lang w:eastAsia="zh-CN"/>
                <w14:ligatures w14:val="none"/>
              </w:rPr>
              <w:t>；</w:t>
            </w:r>
          </w:p>
          <w:p w14:paraId="5290EC4A">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4)</w:t>
            </w:r>
            <w:r>
              <w:rPr>
                <w:rFonts w:hint="default" w:ascii="Times New Roman" w:hAnsi="Times New Roman" w:eastAsia="宋体" w:cs="Times New Roman"/>
                <w:color w:val="000000"/>
                <w:kern w:val="0"/>
                <w:szCs w:val="22"/>
                <w14:ligatures w14:val="none"/>
              </w:rPr>
              <w:t>老年人健康状况评估信息</w:t>
            </w:r>
            <w:r>
              <w:rPr>
                <w:rFonts w:hint="default" w:ascii="Times New Roman" w:hAnsi="Times New Roman" w:eastAsia="宋体" w:cs="Times New Roman"/>
                <w:color w:val="000000"/>
                <w:kern w:val="0"/>
                <w:szCs w:val="22"/>
                <w:lang w:eastAsia="zh-CN"/>
                <w14:ligatures w14:val="none"/>
              </w:rPr>
              <w:t>；</w:t>
            </w:r>
          </w:p>
          <w:p w14:paraId="2FB7EBB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5)</w:t>
            </w:r>
            <w:r>
              <w:rPr>
                <w:rFonts w:hint="default" w:ascii="Times New Roman" w:hAnsi="Times New Roman" w:eastAsia="宋体" w:cs="Times New Roman"/>
                <w:color w:val="000000"/>
                <w:kern w:val="0"/>
                <w:szCs w:val="22"/>
                <w14:ligatures w14:val="none"/>
              </w:rPr>
              <w:t>老年人特殊照护评估信息</w:t>
            </w:r>
            <w:r>
              <w:rPr>
                <w:rFonts w:hint="default" w:ascii="Times New Roman" w:hAnsi="Times New Roman" w:eastAsia="宋体" w:cs="Times New Roman"/>
                <w:color w:val="000000"/>
                <w:kern w:val="0"/>
                <w:szCs w:val="22"/>
                <w:lang w:eastAsia="zh-CN"/>
                <w14:ligatures w14:val="none"/>
              </w:rPr>
              <w:t>；</w:t>
            </w:r>
          </w:p>
          <w:p w14:paraId="0CCC4DB8">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6)</w:t>
            </w:r>
            <w:r>
              <w:rPr>
                <w:rFonts w:hint="default" w:ascii="Times New Roman" w:hAnsi="Times New Roman" w:eastAsia="宋体" w:cs="Times New Roman"/>
                <w:color w:val="000000"/>
                <w:kern w:val="0"/>
                <w:szCs w:val="22"/>
                <w14:ligatures w14:val="none"/>
              </w:rPr>
              <w:t>老年人疾病状况评估信息</w:t>
            </w:r>
            <w:r>
              <w:rPr>
                <w:rFonts w:hint="default" w:ascii="Times New Roman" w:hAnsi="Times New Roman" w:eastAsia="宋体" w:cs="Times New Roman"/>
                <w:color w:val="000000"/>
                <w:kern w:val="0"/>
                <w:szCs w:val="22"/>
                <w:lang w:eastAsia="zh-CN"/>
                <w14:ligatures w14:val="none"/>
              </w:rPr>
              <w:t>；</w:t>
            </w:r>
          </w:p>
          <w:p w14:paraId="03F8C47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lang w:val="en-US" w:eastAsia="zh-CN"/>
                <w14:ligatures w14:val="none"/>
              </w:rPr>
              <w:t>7)</w:t>
            </w:r>
            <w:r>
              <w:rPr>
                <w:rFonts w:hint="default" w:ascii="Times New Roman" w:hAnsi="Times New Roman" w:eastAsia="宋体" w:cs="Times New Roman"/>
                <w:color w:val="000000"/>
                <w:kern w:val="0"/>
                <w:szCs w:val="22"/>
                <w14:ligatures w14:val="none"/>
              </w:rPr>
              <w:t>社会支持评定量表信息</w:t>
            </w:r>
            <w:r>
              <w:rPr>
                <w:rFonts w:hint="default" w:ascii="Times New Roman" w:hAnsi="Times New Roman" w:eastAsia="宋体" w:cs="Times New Roman"/>
                <w:color w:val="000000"/>
                <w:kern w:val="0"/>
                <w:szCs w:val="22"/>
                <w:lang w:eastAsia="zh-CN"/>
                <w14:ligatures w14:val="none"/>
              </w:rPr>
              <w:t>。</w:t>
            </w:r>
          </w:p>
          <w:p w14:paraId="3EBE948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1.2</w:t>
            </w:r>
            <w:r>
              <w:rPr>
                <w:rFonts w:hint="default" w:ascii="Times New Roman" w:hAnsi="Times New Roman" w:eastAsia="宋体" w:cs="Times New Roman"/>
                <w:color w:val="000000"/>
                <w:kern w:val="0"/>
                <w:szCs w:val="22"/>
                <w14:ligatures w14:val="none"/>
              </w:rPr>
              <w:t>服务安全风险评估类的量表</w:t>
            </w:r>
          </w:p>
          <w:p w14:paraId="63B171C0">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老年人平衡能力测试表信息</w:t>
            </w:r>
            <w:r>
              <w:rPr>
                <w:rFonts w:hint="default" w:ascii="Times New Roman" w:hAnsi="Times New Roman" w:eastAsia="宋体" w:cs="Times New Roman"/>
                <w:color w:val="000000"/>
                <w:kern w:val="0"/>
                <w:szCs w:val="22"/>
                <w:lang w:eastAsia="zh-CN"/>
                <w14:ligatures w14:val="none"/>
              </w:rPr>
              <w:t>；</w:t>
            </w:r>
          </w:p>
          <w:p w14:paraId="3B0994DD">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2)</w:t>
            </w:r>
            <w:r>
              <w:rPr>
                <w:rFonts w:hint="default" w:ascii="Times New Roman" w:hAnsi="Times New Roman" w:eastAsia="宋体" w:cs="Times New Roman"/>
                <w:color w:val="000000"/>
                <w:kern w:val="0"/>
                <w:szCs w:val="22"/>
                <w14:ligatures w14:val="none"/>
              </w:rPr>
              <w:t>Morse量表信息</w:t>
            </w:r>
            <w:r>
              <w:rPr>
                <w:rFonts w:hint="default" w:ascii="Times New Roman" w:hAnsi="Times New Roman" w:eastAsia="宋体" w:cs="Times New Roman"/>
                <w:color w:val="000000"/>
                <w:kern w:val="0"/>
                <w:szCs w:val="22"/>
                <w:lang w:eastAsia="zh-CN"/>
                <w14:ligatures w14:val="none"/>
              </w:rPr>
              <w:t>；</w:t>
            </w:r>
          </w:p>
          <w:p w14:paraId="3FC01A63">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3)</w:t>
            </w:r>
            <w:r>
              <w:rPr>
                <w:rFonts w:hint="default" w:ascii="Times New Roman" w:hAnsi="Times New Roman" w:eastAsia="宋体" w:cs="Times New Roman"/>
                <w:color w:val="000000"/>
                <w:kern w:val="0"/>
                <w:szCs w:val="22"/>
                <w14:ligatures w14:val="none"/>
              </w:rPr>
              <w:t>老年人坠床风险评估表信息</w:t>
            </w:r>
            <w:r>
              <w:rPr>
                <w:rFonts w:hint="default" w:ascii="Times New Roman" w:hAnsi="Times New Roman" w:eastAsia="宋体" w:cs="Times New Roman"/>
                <w:color w:val="000000"/>
                <w:kern w:val="0"/>
                <w:szCs w:val="22"/>
                <w:lang w:eastAsia="zh-CN"/>
                <w14:ligatures w14:val="none"/>
              </w:rPr>
              <w:t>；</w:t>
            </w:r>
          </w:p>
          <w:p w14:paraId="123D13F6">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4)</w:t>
            </w:r>
            <w:r>
              <w:rPr>
                <w:rFonts w:hint="default" w:ascii="Times New Roman" w:hAnsi="Times New Roman" w:eastAsia="宋体" w:cs="Times New Roman"/>
                <w:color w:val="000000"/>
                <w:kern w:val="0"/>
                <w:szCs w:val="22"/>
                <w14:ligatures w14:val="none"/>
              </w:rPr>
              <w:t>老年人噎食风险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洼田饮水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评估表信息</w:t>
            </w:r>
            <w:r>
              <w:rPr>
                <w:rFonts w:hint="default" w:ascii="Times New Roman" w:hAnsi="Times New Roman" w:eastAsia="宋体" w:cs="Times New Roman"/>
                <w:color w:val="000000"/>
                <w:kern w:val="0"/>
                <w:szCs w:val="22"/>
                <w:lang w:eastAsia="zh-CN"/>
                <w14:ligatures w14:val="none"/>
              </w:rPr>
              <w:t>；</w:t>
            </w:r>
          </w:p>
          <w:p w14:paraId="4872478C">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5)</w:t>
            </w:r>
            <w:r>
              <w:rPr>
                <w:rFonts w:hint="default" w:ascii="Times New Roman" w:hAnsi="Times New Roman" w:eastAsia="宋体" w:cs="Times New Roman"/>
                <w:color w:val="000000"/>
                <w:kern w:val="0"/>
                <w:szCs w:val="22"/>
                <w14:ligatures w14:val="none"/>
              </w:rPr>
              <w:t>老年人食品药品误食评估表信息</w:t>
            </w:r>
            <w:r>
              <w:rPr>
                <w:rFonts w:hint="default" w:ascii="Times New Roman" w:hAnsi="Times New Roman" w:eastAsia="宋体" w:cs="Times New Roman"/>
                <w:color w:val="000000"/>
                <w:kern w:val="0"/>
                <w:szCs w:val="22"/>
                <w:lang w:eastAsia="zh-CN"/>
                <w14:ligatures w14:val="none"/>
              </w:rPr>
              <w:t>；</w:t>
            </w:r>
          </w:p>
          <w:p w14:paraId="011D24FA">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6)</w:t>
            </w:r>
            <w:r>
              <w:rPr>
                <w:rFonts w:hint="default" w:ascii="Times New Roman" w:hAnsi="Times New Roman" w:eastAsia="宋体" w:cs="Times New Roman"/>
                <w:color w:val="000000"/>
                <w:kern w:val="0"/>
                <w:szCs w:val="22"/>
                <w14:ligatures w14:val="none"/>
              </w:rPr>
              <w:t>简易智能精神状态检查量表信息</w:t>
            </w:r>
            <w:r>
              <w:rPr>
                <w:rFonts w:hint="default" w:ascii="Times New Roman" w:hAnsi="Times New Roman" w:eastAsia="宋体" w:cs="Times New Roman"/>
                <w:color w:val="000000"/>
                <w:kern w:val="0"/>
                <w:szCs w:val="22"/>
                <w:lang w:eastAsia="zh-CN"/>
                <w14:ligatures w14:val="none"/>
              </w:rPr>
              <w:t>；</w:t>
            </w:r>
          </w:p>
          <w:p w14:paraId="4C427476">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7)</w:t>
            </w:r>
            <w:r>
              <w:rPr>
                <w:rFonts w:hint="default" w:ascii="Times New Roman" w:hAnsi="Times New Roman" w:eastAsia="宋体" w:cs="Times New Roman"/>
                <w:color w:val="000000"/>
                <w:kern w:val="0"/>
                <w:szCs w:val="22"/>
                <w14:ligatures w14:val="none"/>
              </w:rPr>
              <w:t>老年人自伤他伤风险评估量表信息</w:t>
            </w:r>
            <w:r>
              <w:rPr>
                <w:rFonts w:hint="default" w:ascii="Times New Roman" w:hAnsi="Times New Roman" w:eastAsia="宋体" w:cs="Times New Roman"/>
                <w:color w:val="000000"/>
                <w:kern w:val="0"/>
                <w:szCs w:val="22"/>
                <w:lang w:eastAsia="zh-CN"/>
                <w14:ligatures w14:val="none"/>
              </w:rPr>
              <w:t>；</w:t>
            </w:r>
          </w:p>
          <w:p w14:paraId="65F03754">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8)</w:t>
            </w:r>
            <w:r>
              <w:rPr>
                <w:rFonts w:hint="default" w:ascii="Times New Roman" w:hAnsi="Times New Roman" w:eastAsia="宋体" w:cs="Times New Roman"/>
                <w:color w:val="000000"/>
                <w:kern w:val="0"/>
                <w:szCs w:val="22"/>
                <w14:ligatures w14:val="none"/>
              </w:rPr>
              <w:t>攻击风险因素评估量表信息</w:t>
            </w:r>
            <w:r>
              <w:rPr>
                <w:rFonts w:hint="default" w:ascii="Times New Roman" w:hAnsi="Times New Roman" w:eastAsia="宋体" w:cs="Times New Roman"/>
                <w:color w:val="000000"/>
                <w:kern w:val="0"/>
                <w:szCs w:val="22"/>
                <w:lang w:eastAsia="zh-CN"/>
                <w14:ligatures w14:val="none"/>
              </w:rPr>
              <w:t>；</w:t>
            </w:r>
          </w:p>
          <w:p w14:paraId="1099898E">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360" w:leftChars="0" w:hanging="360" w:firstLine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 w:val="22"/>
                <w:szCs w:val="22"/>
                <w:lang w:val="en-US" w:eastAsia="zh-CN" w:bidi="ar-SA"/>
                <w14:ligatures w14:val="none"/>
              </w:rPr>
              <w:t>9)</w:t>
            </w:r>
            <w:r>
              <w:rPr>
                <w:rFonts w:hint="default" w:ascii="Times New Roman" w:hAnsi="Times New Roman" w:eastAsia="宋体" w:cs="Times New Roman"/>
                <w:color w:val="000000"/>
                <w:kern w:val="0"/>
                <w:szCs w:val="22"/>
                <w14:ligatures w14:val="none"/>
              </w:rPr>
              <w:t>老年人走失风险评估表信息</w:t>
            </w:r>
            <w:r>
              <w:rPr>
                <w:rFonts w:hint="default" w:ascii="Times New Roman" w:hAnsi="Times New Roman" w:eastAsia="宋体" w:cs="Times New Roman"/>
                <w:color w:val="000000"/>
                <w:kern w:val="0"/>
                <w:szCs w:val="22"/>
                <w:lang w:eastAsia="zh-CN"/>
                <w14:ligatures w14:val="none"/>
              </w:rPr>
              <w:t>；</w:t>
            </w:r>
          </w:p>
          <w:p w14:paraId="2C66C92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lang w:eastAsia="zh-CN"/>
                <w14:ligatures w14:val="none"/>
              </w:rPr>
            </w:pPr>
            <w:r>
              <w:rPr>
                <w:rFonts w:hint="default" w:ascii="Times New Roman" w:hAnsi="Times New Roman" w:eastAsia="宋体" w:cs="Times New Roman"/>
                <w:color w:val="000000"/>
                <w:kern w:val="0"/>
                <w:szCs w:val="22"/>
                <w14:ligatures w14:val="none"/>
              </w:rPr>
              <w:t>10</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老年人压疮风险评估表信息</w:t>
            </w:r>
            <w:r>
              <w:rPr>
                <w:rFonts w:hint="default" w:ascii="Times New Roman" w:hAnsi="Times New Roman" w:eastAsia="宋体" w:cs="Times New Roman"/>
                <w:color w:val="000000"/>
                <w:kern w:val="0"/>
                <w:szCs w:val="22"/>
                <w:lang w:eastAsia="zh-CN"/>
                <w14:ligatures w14:val="none"/>
              </w:rPr>
              <w:t>。</w:t>
            </w:r>
          </w:p>
          <w:p w14:paraId="1DDA834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1.3</w:t>
            </w:r>
            <w:r>
              <w:rPr>
                <w:rFonts w:hint="default" w:ascii="Times New Roman" w:hAnsi="Times New Roman" w:eastAsia="宋体" w:cs="Times New Roman"/>
                <w:color w:val="000000"/>
                <w:kern w:val="0"/>
                <w:szCs w:val="22"/>
                <w14:ligatures w14:val="none"/>
              </w:rPr>
              <w:t>对已填写完成的量表进行查看（需提供产品相关截图证明，并加盖原厂公章证明）</w:t>
            </w:r>
          </w:p>
          <w:p w14:paraId="546078A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2、支持对已评估待审核</w:t>
            </w:r>
            <w:r>
              <w:rPr>
                <w:rFonts w:hint="default" w:ascii="Times New Roman" w:hAnsi="Times New Roman" w:eastAsia="宋体" w:cs="Times New Roman"/>
                <w:color w:val="000000"/>
                <w:kern w:val="0"/>
                <w:szCs w:val="22"/>
                <w:lang w:val="en-US" w:eastAsia="zh-CN"/>
                <w14:ligatures w14:val="none"/>
              </w:rPr>
              <w:t>的</w:t>
            </w:r>
            <w:r>
              <w:rPr>
                <w:rFonts w:hint="default" w:ascii="Times New Roman" w:hAnsi="Times New Roman" w:eastAsia="宋体" w:cs="Times New Roman"/>
                <w:color w:val="000000"/>
                <w:kern w:val="0"/>
                <w:szCs w:val="22"/>
                <w14:ligatures w14:val="none"/>
              </w:rPr>
              <w:t>量表数据进行驳回操作，可对已驳回进行查看删除操作。</w:t>
            </w:r>
          </w:p>
          <w:p w14:paraId="1A122E1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3、支持对已评估量表数据进行单个量表数据审核，也可</w:t>
            </w:r>
            <w:r>
              <w:rPr>
                <w:rFonts w:hint="default" w:ascii="Times New Roman" w:hAnsi="Times New Roman" w:eastAsia="宋体" w:cs="Times New Roman"/>
                <w:color w:val="000000"/>
                <w:kern w:val="0"/>
                <w:szCs w:val="22"/>
                <w:lang w:val="en-US" w:eastAsia="zh-CN"/>
                <w14:ligatures w14:val="none"/>
              </w:rPr>
              <w:t>对</w:t>
            </w:r>
            <w:r>
              <w:rPr>
                <w:rFonts w:hint="default" w:ascii="Times New Roman" w:hAnsi="Times New Roman" w:eastAsia="宋体" w:cs="Times New Roman"/>
                <w:color w:val="000000"/>
                <w:kern w:val="0"/>
                <w:szCs w:val="22"/>
                <w14:ligatures w14:val="none"/>
              </w:rPr>
              <w:t>已经填写完成的量表数据进行批量审核。（需提供产品相关截图证明，并加盖原厂公章证明）</w:t>
            </w:r>
          </w:p>
          <w:p w14:paraId="408233E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▲4、支持对长者已填报的评估量表数据进行增删改查，可按登记时间、长者编号、长者姓名、评估量表、评估状态、评定结论作为查询条件筛选。（需提供产品相关截图证明，并加盖原厂公章证明）</w:t>
            </w:r>
          </w:p>
        </w:tc>
      </w:tr>
      <w:tr w14:paraId="75499AD8">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6EBEEAF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1655961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459BA0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评估预警</w:t>
            </w:r>
          </w:p>
        </w:tc>
        <w:tc>
          <w:tcPr>
            <w:tcW w:w="6671" w:type="dxa"/>
            <w:gridSpan w:val="2"/>
            <w:tcBorders>
              <w:top w:val="nil"/>
              <w:left w:val="nil"/>
              <w:bottom w:val="single" w:color="auto" w:sz="4" w:space="0"/>
              <w:right w:val="single" w:color="auto" w:sz="4" w:space="0"/>
            </w:tcBorders>
            <w:shd w:val="clear" w:color="000000" w:fill="FFFFFF"/>
            <w:vAlign w:val="center"/>
          </w:tcPr>
          <w:p w14:paraId="65483540">
            <w:pPr>
              <w:keepNext w:val="0"/>
              <w:keepLines w:val="0"/>
              <w:pageBreakBefore w:val="0"/>
              <w:widowControl/>
              <w:numPr>
                <w:ilvl w:val="0"/>
                <w:numId w:val="0"/>
              </w:numPr>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支持对已完成评估量表数据预警，预警规则机制</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预警小于前后7天才允许进行量表数据评估操作，前后大于7天不允许操作。</w:t>
            </w:r>
          </w:p>
          <w:p w14:paraId="0051A84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2、支持对预警量表数据进行单个删除和批量删除。</w:t>
            </w:r>
          </w:p>
          <w:p w14:paraId="2D8675B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3、支持对预警评估量表数据查询和删除，查询条件：评估时间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评估量表</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t>信息。</w:t>
            </w:r>
          </w:p>
        </w:tc>
      </w:tr>
      <w:tr w14:paraId="026A4910">
        <w:tblPrEx>
          <w:tblCellMar>
            <w:top w:w="0" w:type="dxa"/>
            <w:left w:w="108" w:type="dxa"/>
            <w:bottom w:w="0" w:type="dxa"/>
            <w:right w:w="108" w:type="dxa"/>
          </w:tblCellMar>
        </w:tblPrEx>
        <w:trPr>
          <w:trHeight w:val="612"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524ECE3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592D89D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EAB9B0B">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长者等级评定结论</w:t>
            </w:r>
          </w:p>
        </w:tc>
        <w:tc>
          <w:tcPr>
            <w:tcW w:w="6671" w:type="dxa"/>
            <w:gridSpan w:val="2"/>
            <w:tcBorders>
              <w:top w:val="nil"/>
              <w:left w:val="nil"/>
              <w:bottom w:val="single" w:color="auto" w:sz="4" w:space="0"/>
              <w:right w:val="single" w:color="auto" w:sz="4" w:space="0"/>
            </w:tcBorders>
            <w:shd w:val="clear" w:color="000000" w:fill="FFFFFF"/>
            <w:vAlign w:val="center"/>
          </w:tcPr>
          <w:p w14:paraId="19E3E6F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机构管理者、评估师对已填报评估量表的长者新增评定结论；涵盖日常生活活动能力、认知能力、感知觉与沟通能力、老年人健康状况、食品药品误食、简易智能精神状态检查等量表，可依据量表信息自动生成评定结果。（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2、支持对已完成评定的长者快速生成权威等级评定结论，</w:t>
            </w:r>
            <w:r>
              <w:rPr>
                <w:rFonts w:hint="default" w:ascii="Times New Roman" w:hAnsi="Times New Roman" w:eastAsia="宋体" w:cs="Times New Roman"/>
                <w:color w:val="000000"/>
                <w:kern w:val="0"/>
                <w:szCs w:val="22"/>
                <w:lang w:val="en-US" w:eastAsia="zh-CN"/>
                <w14:ligatures w14:val="none"/>
              </w:rPr>
              <w:t>具体包括</w:t>
            </w:r>
            <w:r>
              <w:rPr>
                <w:rFonts w:hint="default" w:ascii="Times New Roman" w:hAnsi="Times New Roman" w:eastAsia="宋体" w:cs="Times New Roman"/>
                <w:color w:val="000000"/>
                <w:kern w:val="0"/>
                <w:szCs w:val="22"/>
                <w14:ligatures w14:val="none"/>
              </w:rPr>
              <w:t>：老年人能力总体等级评定、老年人食品误食最终风险评定、老年人照护需求等级评定、老年人照护等级护理级别评定</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▲3、支持依据长者评定结论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自动关联生活照护、老年综合征疾病护理、医疗护理、康复理疗、膳食服务、风险防范、心理精神照护、文化娱乐、认知照护、委托服务等照护项目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智能生成照护计划。（需提供产品相关截图证明，并加盖原厂公章证明）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4、支持对长者的评定结论历史数据对比。</w:t>
            </w:r>
          </w:p>
          <w:p w14:paraId="450482B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5、支持对已经评定的长者结论进行增删改查，查询条件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评定时间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评定名称。</w:t>
            </w:r>
          </w:p>
        </w:tc>
      </w:tr>
      <w:tr w14:paraId="49897FE1">
        <w:tblPrEx>
          <w:tblCellMar>
            <w:top w:w="0" w:type="dxa"/>
            <w:left w:w="108" w:type="dxa"/>
            <w:bottom w:w="0" w:type="dxa"/>
            <w:right w:w="108" w:type="dxa"/>
          </w:tblCellMar>
        </w:tblPrEx>
        <w:trPr>
          <w:trHeight w:val="2247"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2A192AE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43E86836">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0D4C45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评估/评定结论报告</w:t>
            </w:r>
          </w:p>
        </w:tc>
        <w:tc>
          <w:tcPr>
            <w:tcW w:w="6671" w:type="dxa"/>
            <w:gridSpan w:val="2"/>
            <w:tcBorders>
              <w:top w:val="nil"/>
              <w:left w:val="nil"/>
              <w:bottom w:val="single" w:color="auto" w:sz="4" w:space="0"/>
              <w:right w:val="single" w:color="auto" w:sz="4" w:space="0"/>
            </w:tcBorders>
            <w:shd w:val="clear" w:color="000000" w:fill="FFFFFF"/>
            <w:vAlign w:val="center"/>
          </w:tcPr>
          <w:p w14:paraId="796BDF75">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支持评估结论一键生成PDF报告，供机构与家属签字确认。</w:t>
            </w:r>
          </w:p>
          <w:p w14:paraId="49A3EE0D">
            <w:pPr>
              <w:pStyle w:val="11"/>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▲2、量表涵盖日常生活活动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认知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感知沟通</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健康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特殊照护</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疾病</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社会支持等多维度评估。（需提供产品相关截图证明，并加盖原厂公章证明）</w:t>
            </w:r>
          </w:p>
          <w:p w14:paraId="0F08BBC1">
            <w:pPr>
              <w:pStyle w:val="11"/>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3、支持自动归集风险与等级信息，可对优抚对象全面评估分类。</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4、支持自动生成个性化照护建议与服务清单。</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5、支持实现评估量表电子报告存档。</w:t>
            </w:r>
          </w:p>
          <w:p w14:paraId="2F5372DC">
            <w:pPr>
              <w:pStyle w:val="11"/>
              <w:keepNext w:val="0"/>
              <w:keepLines w:val="0"/>
              <w:pageBreakBefore w:val="0"/>
              <w:widowControl/>
              <w:kinsoku/>
              <w:wordWrap/>
              <w:overflowPunct/>
              <w:topLinePunct w:val="0"/>
              <w:autoSpaceDE/>
              <w:autoSpaceDN/>
              <w:bidi w:val="0"/>
              <w:adjustRightInd/>
              <w:snapToGrid/>
              <w:spacing w:after="0" w:line="460" w:lineRule="exact"/>
              <w:ind w:left="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6、支持对已经评定的长者结论报告进行增删改查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档案文件编号。</w:t>
            </w:r>
          </w:p>
        </w:tc>
      </w:tr>
      <w:tr w14:paraId="060F7CB2">
        <w:tblPrEx>
          <w:tblCellMar>
            <w:top w:w="0" w:type="dxa"/>
            <w:left w:w="108" w:type="dxa"/>
            <w:bottom w:w="0" w:type="dxa"/>
            <w:right w:w="108" w:type="dxa"/>
          </w:tblCellMar>
        </w:tblPrEx>
        <w:trPr>
          <w:trHeight w:val="1768"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2D614A4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45AB59C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24600EC">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机构房态</w:t>
            </w:r>
          </w:p>
        </w:tc>
        <w:tc>
          <w:tcPr>
            <w:tcW w:w="6671" w:type="dxa"/>
            <w:gridSpan w:val="2"/>
            <w:tcBorders>
              <w:top w:val="nil"/>
              <w:left w:val="nil"/>
              <w:bottom w:val="single" w:color="auto" w:sz="4" w:space="0"/>
              <w:right w:val="single" w:color="auto" w:sz="4" w:space="0"/>
            </w:tcBorders>
            <w:shd w:val="clear" w:color="000000" w:fill="FFFFFF"/>
            <w:vAlign w:val="center"/>
          </w:tcPr>
          <w:p w14:paraId="50AB1D21">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支持可通过颜色区分房态信息，让机构管理者快速了解房态运营情况以及入住情况。</w:t>
            </w:r>
          </w:p>
          <w:p w14:paraId="18DC04CF">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支持通过房态卡片查看，床位编号信息</w:t>
            </w:r>
            <w:r>
              <w:rPr>
                <w:rFonts w:hint="default" w:ascii="Times New Roman" w:hAnsi="Times New Roman" w:eastAsia="宋体" w:cs="Times New Roman"/>
                <w:color w:val="000000"/>
                <w:kern w:val="0"/>
                <w:szCs w:val="22"/>
                <w:lang w:val="en-US" w:eastAsia="zh-CN"/>
                <w14:ligatures w14:val="none"/>
              </w:rPr>
              <w:t>、</w:t>
            </w:r>
            <w:r>
              <w:rPr>
                <w:rFonts w:hint="default" w:ascii="Times New Roman" w:hAnsi="Times New Roman" w:eastAsia="宋体" w:cs="Times New Roman"/>
                <w:color w:val="000000"/>
                <w:kern w:val="0"/>
                <w:szCs w:val="22"/>
                <w14:ligatures w14:val="none"/>
              </w:rPr>
              <w:t>长者的姓名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性别</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年龄信息以及长者入住时的时间信息，长者护理等级信息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长者慢病信息以及住的天数信息。</w:t>
            </w:r>
          </w:p>
        </w:tc>
      </w:tr>
      <w:tr w14:paraId="675BE8CD">
        <w:tblPrEx>
          <w:tblCellMar>
            <w:top w:w="0" w:type="dxa"/>
            <w:left w:w="108" w:type="dxa"/>
            <w:bottom w:w="0" w:type="dxa"/>
            <w:right w:w="108" w:type="dxa"/>
          </w:tblCellMar>
        </w:tblPrEx>
        <w:trPr>
          <w:trHeight w:val="1190"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1D3684F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07DD029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A2344E6">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入住登记</w:t>
            </w:r>
          </w:p>
        </w:tc>
        <w:tc>
          <w:tcPr>
            <w:tcW w:w="6671" w:type="dxa"/>
            <w:gridSpan w:val="2"/>
            <w:tcBorders>
              <w:top w:val="nil"/>
              <w:left w:val="nil"/>
              <w:bottom w:val="single" w:color="auto" w:sz="4" w:space="0"/>
              <w:right w:val="single" w:color="auto" w:sz="4" w:space="0"/>
            </w:tcBorders>
            <w:shd w:val="clear" w:color="000000" w:fill="FFFFFF"/>
            <w:vAlign w:val="center"/>
          </w:tcPr>
          <w:p w14:paraId="7951183A">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支持对长者进行快速办理入住登记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分配房间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入住位置信息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床位信息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入住时间选择和退住时间选择，也可对在住长者进行变更床位操作。</w:t>
            </w:r>
          </w:p>
          <w:p w14:paraId="4ACB1857">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▲2、支持对已入住的长者同步建立完善的健康档案信息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lang w:val="en-US" w:eastAsia="zh-CN"/>
                <w14:ligatures w14:val="none"/>
              </w:rPr>
              <w:t>包括</w:t>
            </w:r>
            <w:r>
              <w:rPr>
                <w:rFonts w:hint="default" w:ascii="Times New Roman" w:hAnsi="Times New Roman" w:eastAsia="宋体" w:cs="Times New Roman"/>
                <w:color w:val="000000"/>
                <w:kern w:val="0"/>
                <w:szCs w:val="22"/>
                <w14:ligatures w14:val="none"/>
              </w:rPr>
              <w:t>健康档案首页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入院健康记录</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健康状况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陈述书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首次护理记录</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单知情同意书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服务安全风险知情同意书。（关联评估量表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跌倒风险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坠床风险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烫伤风险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噎食风险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压疮风险食品药品误食风险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走失风险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自伤风险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他伤风险。） （需提供产品相关截图证明，并加盖原厂公章证明）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3、支持对在住长者数据进行查询，查询条件有长者编号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长者姓名，床位编号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入住时间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计划退住时间</w:t>
            </w:r>
            <w:r>
              <w:rPr>
                <w:rFonts w:hint="default" w:ascii="Times New Roman" w:hAnsi="Times New Roman" w:eastAsia="宋体" w:cs="Times New Roman"/>
                <w:color w:val="000000"/>
                <w:kern w:val="0"/>
                <w:szCs w:val="22"/>
                <w:lang w:val="en-US" w:eastAsia="zh-CN"/>
                <w14:ligatures w14:val="none"/>
              </w:rPr>
              <w:t>等</w:t>
            </w:r>
            <w:r>
              <w:rPr>
                <w:rFonts w:hint="default" w:ascii="Times New Roman" w:hAnsi="Times New Roman" w:eastAsia="宋体" w:cs="Times New Roman"/>
                <w:color w:val="000000"/>
                <w:kern w:val="0"/>
                <w:szCs w:val="22"/>
                <w14:ligatures w14:val="none"/>
              </w:rPr>
              <w:t>信息。</w:t>
            </w:r>
          </w:p>
        </w:tc>
      </w:tr>
      <w:tr w14:paraId="5B09B59F">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687CFEA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2CCBC12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1D75F9C1">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外出登记</w:t>
            </w:r>
          </w:p>
        </w:tc>
        <w:tc>
          <w:tcPr>
            <w:tcW w:w="6671" w:type="dxa"/>
            <w:gridSpan w:val="2"/>
            <w:tcBorders>
              <w:top w:val="nil"/>
              <w:left w:val="nil"/>
              <w:bottom w:val="single" w:color="auto" w:sz="4" w:space="0"/>
              <w:right w:val="single" w:color="auto" w:sz="4" w:space="0"/>
            </w:tcBorders>
            <w:shd w:val="clear" w:color="000000" w:fill="FFFFFF"/>
            <w:vAlign w:val="center"/>
          </w:tcPr>
          <w:p w14:paraId="3493891B">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▲1、支持新增外出登记，具体字段信息</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外出时间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返回时间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外出事件类型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陪同人姓名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电话</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关系</w:t>
            </w:r>
            <w:r>
              <w:rPr>
                <w:rFonts w:hint="default" w:ascii="Times New Roman" w:hAnsi="Times New Roman" w:eastAsia="宋体" w:cs="Times New Roman"/>
                <w:color w:val="000000"/>
                <w:kern w:val="0"/>
                <w:szCs w:val="22"/>
                <w:lang w:val="en-US" w:eastAsia="zh-CN"/>
                <w14:ligatures w14:val="none"/>
              </w:rPr>
              <w:t>等信息</w:t>
            </w:r>
            <w:r>
              <w:rPr>
                <w:rFonts w:hint="default" w:ascii="Times New Roman" w:hAnsi="Times New Roman" w:eastAsia="宋体" w:cs="Times New Roman"/>
                <w:color w:val="000000"/>
                <w:kern w:val="0"/>
                <w:szCs w:val="22"/>
                <w14:ligatures w14:val="none"/>
              </w:rPr>
              <w:t>。（需提供产品相关截图证明，并加盖原厂公章证明）</w:t>
            </w:r>
          </w:p>
          <w:p w14:paraId="406B1CF7">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2、支持对外出的长者进行增删查，查询条件有长者编号信息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外出时间信息。</w:t>
            </w:r>
          </w:p>
        </w:tc>
      </w:tr>
      <w:tr w14:paraId="5BC85983">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7832ECD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76BD56E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E3F46E1">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床位入住记录</w:t>
            </w:r>
          </w:p>
        </w:tc>
        <w:tc>
          <w:tcPr>
            <w:tcW w:w="6671" w:type="dxa"/>
            <w:gridSpan w:val="2"/>
            <w:tcBorders>
              <w:top w:val="nil"/>
              <w:left w:val="nil"/>
              <w:bottom w:val="single" w:color="auto" w:sz="4" w:space="0"/>
              <w:right w:val="single" w:color="auto" w:sz="4" w:space="0"/>
            </w:tcBorders>
            <w:shd w:val="clear" w:color="000000" w:fill="FFFFFF"/>
            <w:vAlign w:val="center"/>
          </w:tcPr>
          <w:p w14:paraId="2A5C3EEC">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1、支持对历史的入住长者进行入住记录的查询，查询条件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床位编号、长者编号、长者名称、入住时间、通过调取历史入住信息快速锁定长者入住喜好。</w:t>
            </w:r>
          </w:p>
        </w:tc>
      </w:tr>
      <w:tr w14:paraId="56ED2B8F">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single" w:color="000000" w:sz="4" w:space="0"/>
              <w:right w:val="single" w:color="auto" w:sz="4" w:space="0"/>
            </w:tcBorders>
            <w:vAlign w:val="center"/>
          </w:tcPr>
          <w:p w14:paraId="44544FE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single" w:color="000000" w:sz="4" w:space="0"/>
              <w:right w:val="single" w:color="auto" w:sz="4" w:space="0"/>
            </w:tcBorders>
            <w:vAlign w:val="center"/>
          </w:tcPr>
          <w:p w14:paraId="12C7695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A48F2A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退住登记</w:t>
            </w:r>
          </w:p>
        </w:tc>
        <w:tc>
          <w:tcPr>
            <w:tcW w:w="6671" w:type="dxa"/>
            <w:gridSpan w:val="2"/>
            <w:tcBorders>
              <w:top w:val="nil"/>
              <w:left w:val="nil"/>
              <w:bottom w:val="single" w:color="auto" w:sz="4" w:space="0"/>
              <w:right w:val="single" w:color="auto" w:sz="4" w:space="0"/>
            </w:tcBorders>
            <w:shd w:val="clear" w:color="000000" w:fill="FFFFFF"/>
            <w:vAlign w:val="center"/>
          </w:tcPr>
          <w:p w14:paraId="09A9D6F0">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支持对在住长者进行新增退住操作，确认退住后，同步更新床位状态，并自动生成账单与照护清单明细。</w:t>
            </w:r>
          </w:p>
          <w:p w14:paraId="7F266920">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支持通过已确</w:t>
            </w:r>
            <w:r>
              <w:rPr>
                <w:rFonts w:hint="default" w:ascii="Times New Roman" w:hAnsi="Times New Roman" w:eastAsia="宋体" w:cs="Times New Roman"/>
                <w:color w:val="000000"/>
                <w:kern w:val="0"/>
                <w:szCs w:val="22"/>
                <w:lang w:val="en-US" w:eastAsia="zh-CN"/>
                <w14:ligatures w14:val="none"/>
              </w:rPr>
              <w:t>认</w:t>
            </w:r>
            <w:r>
              <w:rPr>
                <w:rFonts w:hint="default" w:ascii="Times New Roman" w:hAnsi="Times New Roman" w:eastAsia="宋体" w:cs="Times New Roman"/>
                <w:color w:val="000000"/>
                <w:kern w:val="0"/>
                <w:szCs w:val="22"/>
                <w14:ligatures w14:val="none"/>
              </w:rPr>
              <w:t>退住的长者信息进行费用信息查看，总费用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已缴费</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待缴费</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缴费状态。</w:t>
            </w:r>
          </w:p>
          <w:p w14:paraId="62397344">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支持对长者退住的历史数据进行查询，查询条件</w:t>
            </w:r>
            <w:r>
              <w:rPr>
                <w:rFonts w:hint="default" w:ascii="Times New Roman" w:hAnsi="Times New Roman" w:eastAsia="宋体" w:cs="Times New Roman"/>
                <w:color w:val="000000"/>
                <w:kern w:val="0"/>
                <w:szCs w:val="22"/>
                <w:lang w:val="en-US" w:eastAsia="zh-CN"/>
                <w14:ligatures w14:val="none"/>
              </w:rPr>
              <w:t>有</w:t>
            </w:r>
            <w:r>
              <w:rPr>
                <w:rFonts w:hint="default" w:ascii="Times New Roman" w:hAnsi="Times New Roman" w:eastAsia="宋体" w:cs="Times New Roman"/>
                <w:color w:val="000000"/>
                <w:kern w:val="0"/>
                <w:szCs w:val="22"/>
                <w14:ligatures w14:val="none"/>
              </w:rPr>
              <w:t>入住时间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床位编号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所属楼号。</w:t>
            </w:r>
          </w:p>
        </w:tc>
      </w:tr>
      <w:tr w14:paraId="52970D9C">
        <w:tblPrEx>
          <w:tblCellMar>
            <w:top w:w="0" w:type="dxa"/>
            <w:left w:w="108" w:type="dxa"/>
            <w:bottom w:w="0" w:type="dxa"/>
            <w:right w:w="108" w:type="dxa"/>
          </w:tblCellMar>
        </w:tblPrEx>
        <w:trPr>
          <w:trHeight w:val="1605" w:hRule="atLeast"/>
        </w:trPr>
        <w:tc>
          <w:tcPr>
            <w:tcW w:w="570" w:type="dxa"/>
            <w:gridSpan w:val="2"/>
            <w:vMerge w:val="restart"/>
            <w:tcBorders>
              <w:top w:val="nil"/>
              <w:left w:val="single" w:color="auto" w:sz="4" w:space="0"/>
              <w:bottom w:val="nil"/>
              <w:right w:val="single" w:color="auto" w:sz="4" w:space="0"/>
            </w:tcBorders>
            <w:vAlign w:val="center"/>
          </w:tcPr>
          <w:p w14:paraId="06C29F0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3</w:t>
            </w:r>
          </w:p>
        </w:tc>
        <w:tc>
          <w:tcPr>
            <w:tcW w:w="709" w:type="dxa"/>
            <w:gridSpan w:val="2"/>
            <w:vMerge w:val="restart"/>
            <w:tcBorders>
              <w:top w:val="nil"/>
              <w:left w:val="single" w:color="auto" w:sz="4" w:space="0"/>
              <w:bottom w:val="nil"/>
              <w:right w:val="single" w:color="auto" w:sz="4" w:space="0"/>
            </w:tcBorders>
            <w:vAlign w:val="center"/>
          </w:tcPr>
          <w:p w14:paraId="01FF450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精准健康管理</w:t>
            </w:r>
          </w:p>
        </w:tc>
        <w:tc>
          <w:tcPr>
            <w:tcW w:w="850" w:type="dxa"/>
            <w:tcBorders>
              <w:top w:val="nil"/>
              <w:left w:val="nil"/>
              <w:bottom w:val="single" w:color="auto" w:sz="4" w:space="0"/>
              <w:right w:val="single" w:color="auto" w:sz="4" w:space="0"/>
            </w:tcBorders>
            <w:vAlign w:val="center"/>
          </w:tcPr>
          <w:p w14:paraId="0642B28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健康管理档案</w:t>
            </w:r>
          </w:p>
        </w:tc>
        <w:tc>
          <w:tcPr>
            <w:tcW w:w="6671" w:type="dxa"/>
            <w:gridSpan w:val="2"/>
            <w:tcBorders>
              <w:top w:val="nil"/>
              <w:left w:val="nil"/>
              <w:bottom w:val="single" w:color="auto" w:sz="4" w:space="0"/>
              <w:right w:val="single" w:color="auto" w:sz="4" w:space="0"/>
            </w:tcBorders>
            <w:shd w:val="clear" w:color="000000" w:fill="FFFFFF"/>
            <w:vAlign w:val="center"/>
          </w:tcPr>
          <w:p w14:paraId="2769D243">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支持汇总长者健康数据，建立统一健康档案，智能分析健康风险标签，通过获取健康风险</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匹配个性化健康干预方案。</w:t>
            </w:r>
          </w:p>
          <w:p w14:paraId="32C3709E">
            <w:pPr>
              <w:pStyle w:val="11"/>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▲2、支持对评估量表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评估等级</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评估报告</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血压数据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血糖数据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心电数据、体检数据、门诊数据、住院数据、手术数据、报告数据、用药数据与历史</w:t>
            </w:r>
            <w:r>
              <w:rPr>
                <w:rFonts w:hint="default" w:ascii="Times New Roman" w:hAnsi="Times New Roman" w:eastAsia="宋体" w:cs="Times New Roman"/>
                <w:color w:val="000000"/>
                <w:kern w:val="0"/>
                <w:szCs w:val="22"/>
                <w:lang w:val="en-US" w:eastAsia="zh-CN"/>
                <w14:ligatures w14:val="none"/>
              </w:rPr>
              <w:t>数据进行</w:t>
            </w:r>
            <w:r>
              <w:rPr>
                <w:rFonts w:hint="default" w:ascii="Times New Roman" w:hAnsi="Times New Roman" w:eastAsia="宋体" w:cs="Times New Roman"/>
                <w:color w:val="000000"/>
                <w:kern w:val="0"/>
                <w:szCs w:val="22"/>
                <w14:ligatures w14:val="none"/>
              </w:rPr>
              <w:t>对比。（需提供产品相关截图证明，并加盖原厂公章证明）</w:t>
            </w:r>
          </w:p>
        </w:tc>
      </w:tr>
      <w:tr w14:paraId="7DB80F96">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7D6C759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39B617E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977C92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生命体征监测</w:t>
            </w:r>
          </w:p>
        </w:tc>
        <w:tc>
          <w:tcPr>
            <w:tcW w:w="6671" w:type="dxa"/>
            <w:gridSpan w:val="2"/>
            <w:tcBorders>
              <w:top w:val="nil"/>
              <w:left w:val="nil"/>
              <w:bottom w:val="single" w:color="auto" w:sz="4" w:space="0"/>
              <w:right w:val="single" w:color="auto" w:sz="4" w:space="0"/>
            </w:tcBorders>
            <w:shd w:val="clear" w:color="000000" w:fill="FFFFFF"/>
            <w:vAlign w:val="center"/>
          </w:tcPr>
          <w:p w14:paraId="5B3D34CC">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▲1、支持实时监测长者呼吸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lang w:val="en-US" w:eastAsia="zh-CN"/>
                <w14:ligatures w14:val="none"/>
              </w:rPr>
              <w:t>睡眠质量</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心率等生命体征，智能分析健康状况</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详细数据采集时间</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设备编号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心率呼吸率</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体动运动状态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人体状态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在床状态。（需提供产品相关截图证明，并加盖原厂公章证明）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2、支持异常自动预警与历史趋势对比。</w:t>
            </w:r>
          </w:p>
        </w:tc>
      </w:tr>
      <w:tr w14:paraId="7627F0D8">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2C65C59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6890D8A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D8FF69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健康心电数据</w:t>
            </w:r>
          </w:p>
        </w:tc>
        <w:tc>
          <w:tcPr>
            <w:tcW w:w="6671" w:type="dxa"/>
            <w:gridSpan w:val="2"/>
            <w:tcBorders>
              <w:top w:val="nil"/>
              <w:left w:val="nil"/>
              <w:bottom w:val="single" w:color="auto" w:sz="4" w:space="0"/>
              <w:right w:val="single" w:color="auto" w:sz="4" w:space="0"/>
            </w:tcBorders>
            <w:shd w:val="clear" w:color="000000" w:fill="FFFFFF"/>
            <w:vAlign w:val="center"/>
          </w:tcPr>
          <w:p w14:paraId="40DE311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▲1、支持心率日常监测与节律智能分析，联动健康预警，对心律失常、心肌缺血等风险自动判定低/中/高等级及概率，提前预警隐性问题。（需提供产品相关截图证明，并加盖原厂公章证明）</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2、可自动生成心电报告并支持历史数据追溯，为风险防范提供核心生理数据支撑。</w:t>
            </w:r>
          </w:p>
        </w:tc>
      </w:tr>
      <w:tr w14:paraId="5A79F39A">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1A8EA99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7B5061AF">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nil"/>
              <w:right w:val="single" w:color="auto" w:sz="4" w:space="0"/>
            </w:tcBorders>
            <w:vAlign w:val="center"/>
          </w:tcPr>
          <w:p w14:paraId="42E9A54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人体存在感应记录</w:t>
            </w:r>
          </w:p>
        </w:tc>
        <w:tc>
          <w:tcPr>
            <w:tcW w:w="6671" w:type="dxa"/>
            <w:gridSpan w:val="2"/>
            <w:tcBorders>
              <w:top w:val="nil"/>
              <w:left w:val="nil"/>
              <w:bottom w:val="single" w:color="auto" w:sz="4" w:space="0"/>
              <w:right w:val="single" w:color="auto" w:sz="4" w:space="0"/>
            </w:tcBorders>
            <w:shd w:val="clear" w:color="000000" w:fill="FFFFFF"/>
            <w:vAlign w:val="center"/>
          </w:tcPr>
          <w:p w14:paraId="29AB8C24">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lang w:val="en-US" w:eastAsia="zh-CN"/>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支持人体感应存在数据查询，实时上报监测记录，</w:t>
            </w:r>
            <w:r>
              <w:rPr>
                <w:rFonts w:hint="default" w:ascii="Times New Roman" w:hAnsi="Times New Roman" w:eastAsia="宋体" w:cs="Times New Roman"/>
                <w:color w:val="000000"/>
                <w:kern w:val="0"/>
                <w:szCs w:val="22"/>
                <w:lang w:val="en-US" w:eastAsia="zh-CN"/>
                <w14:ligatures w14:val="none"/>
              </w:rPr>
              <w:t>支持</w:t>
            </w:r>
            <w:r>
              <w:rPr>
                <w:rFonts w:hint="default" w:ascii="Times New Roman" w:hAnsi="Times New Roman" w:eastAsia="宋体" w:cs="Times New Roman"/>
                <w:color w:val="000000"/>
                <w:kern w:val="0"/>
                <w:szCs w:val="22"/>
                <w14:ligatures w14:val="none"/>
              </w:rPr>
              <w:t>按设备编号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长者名称</w:t>
            </w:r>
            <w:r>
              <w:rPr>
                <w:rFonts w:hint="default" w:ascii="Times New Roman" w:hAnsi="Times New Roman" w:eastAsia="宋体" w:cs="Times New Roman"/>
                <w:color w:val="000000"/>
                <w:kern w:val="0"/>
                <w:szCs w:val="22"/>
                <w:lang w:val="en-US" w:eastAsia="zh-CN"/>
                <w14:ligatures w14:val="none"/>
              </w:rPr>
              <w:t>进行查询。</w:t>
            </w:r>
          </w:p>
          <w:p w14:paraId="7928E22B">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2、支持快速查询定位房间异常挪动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有人/无人</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运动状态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 xml:space="preserve">动作幅度(0~100) </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离床状态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睡眠状态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消息发送时间。</w:t>
            </w:r>
          </w:p>
        </w:tc>
      </w:tr>
      <w:tr w14:paraId="71FE7251">
        <w:tblPrEx>
          <w:tblCellMar>
            <w:top w:w="0" w:type="dxa"/>
            <w:left w:w="108" w:type="dxa"/>
            <w:bottom w:w="0" w:type="dxa"/>
            <w:right w:w="108" w:type="dxa"/>
          </w:tblCellMar>
        </w:tblPrEx>
        <w:trPr>
          <w:trHeight w:val="321" w:hRule="atLeast"/>
        </w:trPr>
        <w:tc>
          <w:tcPr>
            <w:tcW w:w="570" w:type="dxa"/>
            <w:gridSpan w:val="2"/>
            <w:vMerge w:val="continue"/>
            <w:tcBorders>
              <w:top w:val="nil"/>
              <w:left w:val="single" w:color="auto" w:sz="4" w:space="0"/>
              <w:bottom w:val="nil"/>
              <w:right w:val="single" w:color="auto" w:sz="4" w:space="0"/>
            </w:tcBorders>
            <w:vAlign w:val="center"/>
          </w:tcPr>
          <w:p w14:paraId="540F1D54">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3F490AF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single" w:color="auto" w:sz="4" w:space="0"/>
              <w:left w:val="nil"/>
              <w:bottom w:val="single" w:color="auto" w:sz="4" w:space="0"/>
              <w:right w:val="single" w:color="auto" w:sz="4" w:space="0"/>
            </w:tcBorders>
            <w:vAlign w:val="center"/>
          </w:tcPr>
          <w:p w14:paraId="3DBFBB76">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长者电子定位</w:t>
            </w:r>
          </w:p>
        </w:tc>
        <w:tc>
          <w:tcPr>
            <w:tcW w:w="6671" w:type="dxa"/>
            <w:gridSpan w:val="2"/>
            <w:tcBorders>
              <w:top w:val="nil"/>
              <w:left w:val="nil"/>
              <w:bottom w:val="single" w:color="auto" w:sz="4" w:space="0"/>
              <w:right w:val="single" w:color="auto" w:sz="4" w:space="0"/>
            </w:tcBorders>
            <w:shd w:val="clear" w:color="000000" w:fill="FFFFFF"/>
            <w:vAlign w:val="center"/>
          </w:tcPr>
          <w:p w14:paraId="231E77D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支持实时获取长者室内位置，查看指定区域人员分布，自动留存活动轨迹记录。</w:t>
            </w:r>
          </w:p>
        </w:tc>
      </w:tr>
      <w:tr w14:paraId="70282102">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79D8032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4CDB7F9C">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5560EEC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健康血压数据</w:t>
            </w:r>
          </w:p>
        </w:tc>
        <w:tc>
          <w:tcPr>
            <w:tcW w:w="6671" w:type="dxa"/>
            <w:gridSpan w:val="2"/>
            <w:tcBorders>
              <w:top w:val="nil"/>
              <w:left w:val="nil"/>
              <w:bottom w:val="single" w:color="auto" w:sz="4" w:space="0"/>
              <w:right w:val="single" w:color="auto" w:sz="4" w:space="0"/>
            </w:tcBorders>
            <w:shd w:val="clear" w:color="000000" w:fill="FFFFFF"/>
            <w:vAlign w:val="center"/>
          </w:tcPr>
          <w:p w14:paraId="5882F869">
            <w:pPr>
              <w:pStyle w:val="11"/>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1、支持血压日常与长期监测，生成数据变化图表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形成报告，报告字段包含基本信息</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分析结果统计</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结论提供个性化健康指引：异常波动自动预警，实现从“数据记录”到“主动健康管理升级</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w:t>
            </w:r>
          </w:p>
          <w:p w14:paraId="421359D0">
            <w:pPr>
              <w:pStyle w:val="11"/>
              <w:keepNext w:val="0"/>
              <w:keepLines w:val="0"/>
              <w:pageBreakBefore w:val="0"/>
              <w:widowControl/>
              <w:kinsoku/>
              <w:wordWrap/>
              <w:overflowPunct/>
              <w:topLinePunct w:val="0"/>
              <w:autoSpaceDE/>
              <w:autoSpaceDN/>
              <w:bidi w:val="0"/>
              <w:adjustRightInd/>
              <w:snapToGrid/>
              <w:spacing w:after="0" w:line="460" w:lineRule="exact"/>
              <w:ind w:left="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▲2、支持对</w:t>
            </w:r>
            <w:r>
              <w:rPr>
                <w:rFonts w:hint="default" w:ascii="Times New Roman" w:hAnsi="Times New Roman" w:eastAsia="宋体" w:cs="Times New Roman"/>
                <w:color w:val="000000"/>
                <w:kern w:val="0"/>
                <w:szCs w:val="22"/>
                <w:lang w:val="en-US" w:eastAsia="zh-CN"/>
                <w14:ligatures w14:val="none"/>
              </w:rPr>
              <w:t>测</w:t>
            </w:r>
            <w:r>
              <w:rPr>
                <w:rFonts w:hint="default" w:ascii="Times New Roman" w:hAnsi="Times New Roman" w:eastAsia="宋体" w:cs="Times New Roman"/>
                <w:color w:val="000000"/>
                <w:kern w:val="0"/>
                <w:szCs w:val="22"/>
                <w14:ligatures w14:val="none"/>
              </w:rPr>
              <w:t>量的血压状态进行查询</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无效状态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正常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正常高值</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轻度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中度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高血压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重度</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低值字段。</w:t>
            </w:r>
          </w:p>
        </w:tc>
      </w:tr>
      <w:tr w14:paraId="08B625EA">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60C92FE3">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03CEE80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4B9DC5B">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健康血糖数据</w:t>
            </w:r>
          </w:p>
        </w:tc>
        <w:tc>
          <w:tcPr>
            <w:tcW w:w="6671" w:type="dxa"/>
            <w:gridSpan w:val="2"/>
            <w:tcBorders>
              <w:top w:val="nil"/>
              <w:left w:val="nil"/>
              <w:bottom w:val="single" w:color="auto" w:sz="4" w:space="0"/>
              <w:right w:val="single" w:color="auto" w:sz="4" w:space="0"/>
            </w:tcBorders>
            <w:shd w:val="clear" w:color="000000" w:fill="FFFFFF"/>
            <w:vAlign w:val="center"/>
          </w:tcPr>
          <w:p w14:paraId="50EF1FF4">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1、支持血糖日常监测与波动智能分析，联动风险预警；生成动态变化图，</w:t>
            </w:r>
            <w:r>
              <w:rPr>
                <w:rFonts w:hint="default" w:ascii="Times New Roman" w:hAnsi="Times New Roman" w:eastAsia="宋体" w:cs="Times New Roman"/>
                <w:color w:val="000000"/>
                <w:kern w:val="0"/>
                <w:szCs w:val="22"/>
                <w:lang w:val="en-US" w:eastAsia="zh-CN"/>
                <w14:ligatures w14:val="none"/>
              </w:rPr>
              <w:t>提</w:t>
            </w:r>
            <w:r>
              <w:rPr>
                <w:rFonts w:hint="default" w:ascii="Times New Roman" w:hAnsi="Times New Roman" w:eastAsia="宋体" w:cs="Times New Roman"/>
                <w:color w:val="000000"/>
                <w:kern w:val="0"/>
                <w:szCs w:val="22"/>
                <w14:ligatures w14:val="none"/>
              </w:rPr>
              <w:t>供个性化控糖方案。</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支持数据对比与异常血糖长者查询，实现精准血糖管理。</w:t>
            </w:r>
          </w:p>
        </w:tc>
      </w:tr>
      <w:tr w14:paraId="1FA9BC5A">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0D0F179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07DFA43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0B412570">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highlight w:val="none"/>
                <w14:ligatures w14:val="none"/>
              </w:rPr>
              <w:t>健康</w:t>
            </w:r>
            <w:r>
              <w:rPr>
                <w:rFonts w:hint="default" w:ascii="Times New Roman" w:hAnsi="Times New Roman" w:eastAsia="宋体" w:cs="Times New Roman"/>
                <w:color w:val="000000"/>
                <w:kern w:val="0"/>
                <w:szCs w:val="22"/>
                <w14:ligatures w14:val="none"/>
              </w:rPr>
              <w:t>血酮数据</w:t>
            </w:r>
          </w:p>
        </w:tc>
        <w:tc>
          <w:tcPr>
            <w:tcW w:w="6671" w:type="dxa"/>
            <w:gridSpan w:val="2"/>
            <w:tcBorders>
              <w:top w:val="nil"/>
              <w:left w:val="nil"/>
              <w:bottom w:val="single" w:color="auto" w:sz="4" w:space="0"/>
              <w:right w:val="single" w:color="auto" w:sz="4" w:space="0"/>
            </w:tcBorders>
            <w:shd w:val="clear" w:color="000000" w:fill="FFFFFF"/>
            <w:vAlign w:val="center"/>
          </w:tcPr>
          <w:p w14:paraId="33B0947B">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支持血酮实时采集与波动分析，监测酮症风险，生成动态图表与周期性趋势报告。</w:t>
            </w:r>
          </w:p>
        </w:tc>
      </w:tr>
      <w:tr w14:paraId="57000706">
        <w:tblPrEx>
          <w:tblCellMar>
            <w:top w:w="0" w:type="dxa"/>
            <w:left w:w="108" w:type="dxa"/>
            <w:bottom w:w="0" w:type="dxa"/>
            <w:right w:w="108" w:type="dxa"/>
          </w:tblCellMar>
        </w:tblPrEx>
        <w:trPr>
          <w:trHeight w:val="963" w:hRule="atLeast"/>
        </w:trPr>
        <w:tc>
          <w:tcPr>
            <w:tcW w:w="570" w:type="dxa"/>
            <w:gridSpan w:val="2"/>
            <w:vMerge w:val="continue"/>
            <w:tcBorders>
              <w:top w:val="nil"/>
              <w:left w:val="single" w:color="auto" w:sz="4" w:space="0"/>
              <w:bottom w:val="nil"/>
              <w:right w:val="single" w:color="auto" w:sz="4" w:space="0"/>
            </w:tcBorders>
            <w:vAlign w:val="center"/>
          </w:tcPr>
          <w:p w14:paraId="75AB14D1">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0020E337">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7202A798">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健康尿酸数据</w:t>
            </w:r>
          </w:p>
        </w:tc>
        <w:tc>
          <w:tcPr>
            <w:tcW w:w="6671" w:type="dxa"/>
            <w:gridSpan w:val="2"/>
            <w:tcBorders>
              <w:top w:val="nil"/>
              <w:left w:val="nil"/>
              <w:bottom w:val="single" w:color="auto" w:sz="4" w:space="0"/>
              <w:right w:val="single" w:color="auto" w:sz="4" w:space="0"/>
            </w:tcBorders>
            <w:shd w:val="clear" w:color="000000" w:fill="FFFFFF"/>
            <w:vAlign w:val="center"/>
          </w:tcPr>
          <w:p w14:paraId="234C85DA">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支持尿酸精准监测，趋势智能分析与高尿酸风险预警，生成动态图表及周期报告。</w:t>
            </w:r>
          </w:p>
          <w:p w14:paraId="352D3CED">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支持为痛风等相关疾病预防与长期健康干预提供数据支撑。</w:t>
            </w:r>
          </w:p>
        </w:tc>
      </w:tr>
      <w:tr w14:paraId="569DF572">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nil"/>
              <w:right w:val="single" w:color="auto" w:sz="4" w:space="0"/>
            </w:tcBorders>
            <w:vAlign w:val="center"/>
          </w:tcPr>
          <w:p w14:paraId="47860BAE">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4889E989">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2A411AC4">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highlight w:val="none"/>
                <w14:ligatures w14:val="none"/>
              </w:rPr>
              <w:t>健康</w:t>
            </w:r>
            <w:r>
              <w:rPr>
                <w:rFonts w:hint="default" w:ascii="Times New Roman" w:hAnsi="Times New Roman" w:eastAsia="宋体" w:cs="Times New Roman"/>
                <w:color w:val="000000"/>
                <w:kern w:val="0"/>
                <w:szCs w:val="22"/>
                <w14:ligatures w14:val="none"/>
              </w:rPr>
              <w:t>血脂数据</w:t>
            </w:r>
          </w:p>
        </w:tc>
        <w:tc>
          <w:tcPr>
            <w:tcW w:w="6671" w:type="dxa"/>
            <w:gridSpan w:val="2"/>
            <w:tcBorders>
              <w:top w:val="nil"/>
              <w:left w:val="nil"/>
              <w:bottom w:val="single" w:color="auto" w:sz="4" w:space="0"/>
              <w:right w:val="single" w:color="auto" w:sz="4" w:space="0"/>
            </w:tcBorders>
            <w:shd w:val="clear" w:color="000000" w:fill="FFFFFF"/>
            <w:vAlign w:val="center"/>
          </w:tcPr>
          <w:p w14:paraId="582C908C">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1、支持血脂多项指标（TC、TG）日常监测，支持智能分析趋势，风险预警。</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2、支持生成动态变化曲线图与历史对比，直观展示长期规律，助力血脂管理与疗效评估。</w:t>
            </w:r>
          </w:p>
        </w:tc>
      </w:tr>
      <w:tr w14:paraId="538BF112">
        <w:tblPrEx>
          <w:tblCellMar>
            <w:top w:w="0" w:type="dxa"/>
            <w:left w:w="108" w:type="dxa"/>
            <w:bottom w:w="0" w:type="dxa"/>
            <w:right w:w="108" w:type="dxa"/>
          </w:tblCellMar>
        </w:tblPrEx>
        <w:trPr>
          <w:trHeight w:val="1605" w:hRule="atLeast"/>
        </w:trPr>
        <w:tc>
          <w:tcPr>
            <w:tcW w:w="570" w:type="dxa"/>
            <w:gridSpan w:val="2"/>
            <w:vMerge w:val="continue"/>
            <w:tcBorders>
              <w:top w:val="nil"/>
              <w:left w:val="single" w:color="auto" w:sz="4" w:space="0"/>
              <w:bottom w:val="nil"/>
              <w:right w:val="single" w:color="auto" w:sz="4" w:space="0"/>
            </w:tcBorders>
            <w:vAlign w:val="center"/>
          </w:tcPr>
          <w:p w14:paraId="1A13FDAA">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1EF8945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6311B7BD">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健康测量提醒规则</w:t>
            </w:r>
          </w:p>
        </w:tc>
        <w:tc>
          <w:tcPr>
            <w:tcW w:w="6671" w:type="dxa"/>
            <w:gridSpan w:val="2"/>
            <w:tcBorders>
              <w:top w:val="nil"/>
              <w:left w:val="nil"/>
              <w:bottom w:val="single" w:color="auto" w:sz="4" w:space="0"/>
              <w:right w:val="single" w:color="auto" w:sz="4" w:space="0"/>
            </w:tcBorders>
            <w:shd w:val="clear" w:color="000000" w:fill="FFFFFF"/>
            <w:vAlign w:val="center"/>
          </w:tcPr>
          <w:p w14:paraId="38010939">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1、支持新增健康监测类的提醒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血压测量提醒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血糖测量提醒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血酮测量提醒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尿酸测量提醒</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心电测量提醒项目</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创建个性化提醒规则，可灵活设置提醒时间与频率。</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2、支持个性化配置规则有单次</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每日</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 xml:space="preserve"> 每周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每月提醒，规范长者日常的健康监测。</w:t>
            </w:r>
          </w:p>
        </w:tc>
      </w:tr>
      <w:tr w14:paraId="7D2CF1D2">
        <w:tblPrEx>
          <w:tblCellMar>
            <w:top w:w="0" w:type="dxa"/>
            <w:left w:w="108" w:type="dxa"/>
            <w:bottom w:w="0" w:type="dxa"/>
            <w:right w:w="108" w:type="dxa"/>
          </w:tblCellMar>
        </w:tblPrEx>
        <w:trPr>
          <w:trHeight w:val="1284" w:hRule="atLeast"/>
        </w:trPr>
        <w:tc>
          <w:tcPr>
            <w:tcW w:w="570" w:type="dxa"/>
            <w:gridSpan w:val="2"/>
            <w:vMerge w:val="continue"/>
            <w:tcBorders>
              <w:top w:val="nil"/>
              <w:left w:val="single" w:color="auto" w:sz="4" w:space="0"/>
              <w:bottom w:val="nil"/>
              <w:right w:val="single" w:color="auto" w:sz="4" w:space="0"/>
            </w:tcBorders>
            <w:vAlign w:val="center"/>
          </w:tcPr>
          <w:p w14:paraId="51088915">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nil"/>
              <w:left w:val="single" w:color="auto" w:sz="4" w:space="0"/>
              <w:bottom w:val="nil"/>
              <w:right w:val="single" w:color="auto" w:sz="4" w:space="0"/>
            </w:tcBorders>
            <w:vAlign w:val="center"/>
          </w:tcPr>
          <w:p w14:paraId="2B49F7E0">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Cs w:val="22"/>
                <w14:ligatures w14:val="none"/>
              </w:rPr>
            </w:pPr>
          </w:p>
        </w:tc>
        <w:tc>
          <w:tcPr>
            <w:tcW w:w="850" w:type="dxa"/>
            <w:tcBorders>
              <w:top w:val="nil"/>
              <w:left w:val="nil"/>
              <w:bottom w:val="single" w:color="auto" w:sz="4" w:space="0"/>
              <w:right w:val="single" w:color="auto" w:sz="4" w:space="0"/>
            </w:tcBorders>
            <w:vAlign w:val="center"/>
          </w:tcPr>
          <w:p w14:paraId="46F56B6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测量提醒记录</w:t>
            </w:r>
          </w:p>
        </w:tc>
        <w:tc>
          <w:tcPr>
            <w:tcW w:w="6671" w:type="dxa"/>
            <w:gridSpan w:val="2"/>
            <w:tcBorders>
              <w:top w:val="nil"/>
              <w:left w:val="nil"/>
              <w:bottom w:val="single" w:color="auto" w:sz="4" w:space="0"/>
              <w:right w:val="single" w:color="auto" w:sz="4" w:space="0"/>
            </w:tcBorders>
            <w:shd w:val="clear" w:color="000000" w:fill="FFFFFF"/>
            <w:vAlign w:val="center"/>
          </w:tcPr>
          <w:p w14:paraId="34465235">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1、支持对日常监测事项全程监督与记录。</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2、支持可通过提醒记录快速查看执行状态，实现事项追踪。</w:t>
            </w:r>
            <w:r>
              <w:rPr>
                <w:rFonts w:hint="default" w:ascii="Times New Roman" w:hAnsi="Times New Roman" w:eastAsia="宋体" w:cs="Times New Roman"/>
                <w:color w:val="000000"/>
                <w:kern w:val="0"/>
                <w:szCs w:val="22"/>
                <w14:ligatures w14:val="none"/>
              </w:rPr>
              <w:br w:type="textWrapping"/>
            </w:r>
            <w:r>
              <w:rPr>
                <w:rFonts w:hint="default" w:ascii="Times New Roman" w:hAnsi="Times New Roman" w:eastAsia="宋体" w:cs="Times New Roman"/>
                <w:color w:val="000000"/>
                <w:kern w:val="0"/>
                <w:szCs w:val="22"/>
                <w14:ligatures w14:val="none"/>
              </w:rPr>
              <w:t>3、支持快速查询提醒记录信息，查询条件有长者编号</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长者姓名</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提醒类型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处理状态</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处理说明</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处理时间。</w:t>
            </w:r>
          </w:p>
        </w:tc>
      </w:tr>
      <w:tr w14:paraId="7EDBEA76">
        <w:tblPrEx>
          <w:tblCellMar>
            <w:top w:w="0" w:type="dxa"/>
            <w:left w:w="108" w:type="dxa"/>
            <w:bottom w:w="0" w:type="dxa"/>
            <w:right w:w="108" w:type="dxa"/>
          </w:tblCellMar>
        </w:tblPrEx>
        <w:trPr>
          <w:trHeight w:val="690" w:hRule="atLeast"/>
        </w:trPr>
        <w:tc>
          <w:tcPr>
            <w:tcW w:w="570" w:type="dxa"/>
            <w:gridSpan w:val="2"/>
            <w:vMerge w:val="restart"/>
            <w:tcBorders>
              <w:top w:val="single" w:color="auto" w:sz="4" w:space="0"/>
              <w:left w:val="single" w:color="auto" w:sz="4" w:space="0"/>
              <w:bottom w:val="single" w:color="auto" w:sz="4" w:space="0"/>
              <w:right w:val="single" w:color="auto" w:sz="4" w:space="0"/>
            </w:tcBorders>
            <w:vAlign w:val="center"/>
          </w:tcPr>
          <w:p w14:paraId="0C4D1A4A">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lang w:val="en-US" w:eastAsia="zh-CN"/>
                <w14:ligatures w14:val="none"/>
              </w:rPr>
            </w:pPr>
            <w:r>
              <w:rPr>
                <w:rFonts w:hint="default" w:ascii="Times New Roman" w:hAnsi="Times New Roman" w:eastAsia="宋体" w:cs="Times New Roman"/>
                <w:color w:val="000000"/>
                <w:kern w:val="0"/>
                <w:sz w:val="21"/>
                <w:szCs w:val="21"/>
                <w:lang w:val="en-US" w:eastAsia="zh-CN"/>
                <w14:ligatures w14:val="none"/>
              </w:rPr>
              <w:t>4</w:t>
            </w:r>
          </w:p>
        </w:tc>
        <w:tc>
          <w:tcPr>
            <w:tcW w:w="709" w:type="dxa"/>
            <w:gridSpan w:val="2"/>
            <w:vMerge w:val="restart"/>
            <w:tcBorders>
              <w:top w:val="single" w:color="auto" w:sz="4" w:space="0"/>
              <w:left w:val="single" w:color="auto" w:sz="4" w:space="0"/>
              <w:bottom w:val="single" w:color="auto" w:sz="4" w:space="0"/>
              <w:right w:val="single" w:color="auto" w:sz="4" w:space="0"/>
            </w:tcBorders>
            <w:vAlign w:val="center"/>
          </w:tcPr>
          <w:p w14:paraId="6CA8D8DF">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智慧养老综合运维服务平台</w:t>
            </w:r>
          </w:p>
        </w:tc>
        <w:tc>
          <w:tcPr>
            <w:tcW w:w="850" w:type="dxa"/>
            <w:tcBorders>
              <w:top w:val="nil"/>
              <w:left w:val="nil"/>
              <w:bottom w:val="single" w:color="auto" w:sz="4" w:space="0"/>
              <w:right w:val="single" w:color="auto" w:sz="4" w:space="0"/>
            </w:tcBorders>
            <w:vAlign w:val="center"/>
          </w:tcPr>
          <w:p w14:paraId="4B6C6753">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智能硬件接入与运维管控模块</w:t>
            </w:r>
          </w:p>
        </w:tc>
        <w:tc>
          <w:tcPr>
            <w:tcW w:w="6671" w:type="dxa"/>
            <w:gridSpan w:val="2"/>
            <w:tcBorders>
              <w:top w:val="nil"/>
              <w:left w:val="nil"/>
              <w:bottom w:val="single" w:color="auto" w:sz="4" w:space="0"/>
              <w:right w:val="single" w:color="auto" w:sz="4" w:space="0"/>
            </w:tcBorders>
            <w:shd w:val="clear" w:color="000000" w:fill="FFFFFF"/>
            <w:vAlign w:val="center"/>
          </w:tcPr>
          <w:p w14:paraId="29344438">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实现全类型智能设备的统一接入与健康监测。</w:t>
            </w:r>
          </w:p>
          <w:p w14:paraId="1E210231">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w:t>
            </w:r>
            <w:r>
              <w:rPr>
                <w:rFonts w:hint="default" w:ascii="Times New Roman" w:hAnsi="Times New Roman" w:eastAsia="宋体" w:cs="Times New Roman"/>
                <w:color w:val="000000"/>
                <w:kern w:val="0"/>
                <w:szCs w:val="22"/>
                <w14:ligatures w14:val="none"/>
              </w:rPr>
              <w:t>软件自动记录设备上电，在线运行全量日志，实时监控开机离线，电量异常等状态。</w:t>
            </w:r>
          </w:p>
          <w:p w14:paraId="05574ED1">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3、</w:t>
            </w:r>
            <w:r>
              <w:rPr>
                <w:rFonts w:hint="default" w:ascii="Times New Roman" w:hAnsi="Times New Roman" w:eastAsia="宋体" w:cs="Times New Roman"/>
                <w:color w:val="000000"/>
                <w:kern w:val="0"/>
                <w:szCs w:val="22"/>
                <w14:ligatures w14:val="none"/>
              </w:rPr>
              <w:t>通过智能算法自动识别长时间未开机，频繁离线等故障点位，并快速定位故障位置以支撑运维决策。</w:t>
            </w:r>
          </w:p>
          <w:p w14:paraId="0CAC2914">
            <w:pPr>
              <w:keepNext w:val="0"/>
              <w:keepLines w:val="0"/>
              <w:pageBreakBefore w:val="0"/>
              <w:widowControl/>
              <w:numPr>
                <w:ilvl w:val="0"/>
                <w:numId w:val="0"/>
              </w:numPr>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4、</w:t>
            </w:r>
            <w:r>
              <w:rPr>
                <w:rFonts w:hint="default" w:ascii="Times New Roman" w:hAnsi="Times New Roman" w:eastAsia="宋体" w:cs="Times New Roman"/>
                <w:color w:val="000000"/>
                <w:kern w:val="0"/>
                <w:szCs w:val="22"/>
                <w14:ligatures w14:val="none"/>
              </w:rPr>
              <w:t>平台支持远程诊断与流程化工单联动，替代传统人工巡检，确保硬件设备数据采集准确，运行稳定，筑牢系统硬件基础运行安全。</w:t>
            </w:r>
          </w:p>
        </w:tc>
      </w:tr>
      <w:tr w14:paraId="07B6D5B2">
        <w:tblPrEx>
          <w:tblCellMar>
            <w:top w:w="0" w:type="dxa"/>
            <w:left w:w="108" w:type="dxa"/>
            <w:bottom w:w="0" w:type="dxa"/>
            <w:right w:w="108" w:type="dxa"/>
          </w:tblCellMar>
        </w:tblPrEx>
        <w:trPr>
          <w:trHeight w:val="2407" w:hRule="atLeast"/>
        </w:trPr>
        <w:tc>
          <w:tcPr>
            <w:tcW w:w="570" w:type="dxa"/>
            <w:gridSpan w:val="2"/>
            <w:vMerge w:val="continue"/>
            <w:tcBorders>
              <w:top w:val="single" w:color="auto" w:sz="4" w:space="0"/>
              <w:left w:val="single" w:color="auto" w:sz="4" w:space="0"/>
              <w:bottom w:val="single" w:color="auto" w:sz="4" w:space="0"/>
              <w:right w:val="single" w:color="auto" w:sz="4" w:space="0"/>
            </w:tcBorders>
            <w:vAlign w:val="center"/>
          </w:tcPr>
          <w:p w14:paraId="79914C3B">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709" w:type="dxa"/>
            <w:gridSpan w:val="2"/>
            <w:vMerge w:val="continue"/>
            <w:tcBorders>
              <w:top w:val="single" w:color="auto" w:sz="4" w:space="0"/>
              <w:left w:val="single" w:color="auto" w:sz="4" w:space="0"/>
              <w:bottom w:val="single" w:color="auto" w:sz="4" w:space="0"/>
              <w:right w:val="single" w:color="auto" w:sz="4" w:space="0"/>
            </w:tcBorders>
            <w:vAlign w:val="center"/>
          </w:tcPr>
          <w:p w14:paraId="609E6AD2">
            <w:pPr>
              <w:keepNext w:val="0"/>
              <w:keepLines w:val="0"/>
              <w:pageBreakBefore w:val="0"/>
              <w:widowControl/>
              <w:kinsoku/>
              <w:wordWrap/>
              <w:overflowPunct/>
              <w:topLinePunct w:val="0"/>
              <w:autoSpaceDE/>
              <w:autoSpaceDN/>
              <w:bidi w:val="0"/>
              <w:adjustRightInd/>
              <w:snapToGrid/>
              <w:spacing w:after="0" w:line="460" w:lineRule="exact"/>
              <w:rPr>
                <w:rFonts w:hint="default" w:ascii="Times New Roman" w:hAnsi="Times New Roman" w:eastAsia="宋体" w:cs="Times New Roman"/>
                <w:color w:val="000000"/>
                <w:kern w:val="0"/>
                <w:sz w:val="21"/>
                <w:szCs w:val="21"/>
                <w14:ligatures w14:val="none"/>
              </w:rPr>
            </w:pPr>
          </w:p>
        </w:tc>
        <w:tc>
          <w:tcPr>
            <w:tcW w:w="850" w:type="dxa"/>
            <w:tcBorders>
              <w:top w:val="nil"/>
              <w:left w:val="nil"/>
              <w:bottom w:val="single" w:color="auto" w:sz="4" w:space="0"/>
              <w:right w:val="single" w:color="auto" w:sz="4" w:space="0"/>
            </w:tcBorders>
            <w:vAlign w:val="center"/>
          </w:tcPr>
          <w:p w14:paraId="565B9C8E">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平台软件运维管理模块</w:t>
            </w:r>
          </w:p>
        </w:tc>
        <w:tc>
          <w:tcPr>
            <w:tcW w:w="6671" w:type="dxa"/>
            <w:gridSpan w:val="2"/>
            <w:tcBorders>
              <w:top w:val="nil"/>
              <w:left w:val="nil"/>
              <w:bottom w:val="single" w:color="auto" w:sz="4" w:space="0"/>
              <w:right w:val="single" w:color="auto" w:sz="4" w:space="0"/>
            </w:tcBorders>
            <w:shd w:val="clear" w:color="000000" w:fill="FFFFFF"/>
            <w:vAlign w:val="center"/>
          </w:tcPr>
          <w:p w14:paraId="54BF0A05">
            <w:pPr>
              <w:keepNext w:val="0"/>
              <w:keepLines w:val="0"/>
              <w:pageBreakBefore w:val="0"/>
              <w:widowControl/>
              <w:kinsoku/>
              <w:wordWrap/>
              <w:overflowPunct/>
              <w:topLinePunct w:val="0"/>
              <w:autoSpaceDE/>
              <w:autoSpaceDN/>
              <w:bidi w:val="0"/>
              <w:adjustRightInd/>
              <w:snapToGrid/>
              <w:spacing w:after="0" w:line="460" w:lineRule="exact"/>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14:ligatures w14:val="none"/>
              </w:rPr>
              <w:t>1、平台内置全链路自动化运维能力，覆盖系统巡检</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故障自愈、版本更新</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数据备份</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安全防护</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权限管理</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性能优化</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日志监控全流程</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自动处置各类系统异常</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保障平台稳定运行，机构/医护端操作顺畅。</w:t>
            </w:r>
          </w:p>
        </w:tc>
      </w:tr>
      <w:tr w14:paraId="1348BA58">
        <w:tblPrEx>
          <w:tblCellMar>
            <w:top w:w="0" w:type="dxa"/>
            <w:left w:w="108" w:type="dxa"/>
            <w:bottom w:w="0" w:type="dxa"/>
            <w:right w:w="108" w:type="dxa"/>
          </w:tblCellMar>
        </w:tblPrEx>
        <w:trPr>
          <w:trHeight w:val="1605" w:hRule="atLeast"/>
        </w:trPr>
        <w:tc>
          <w:tcPr>
            <w:tcW w:w="570" w:type="dxa"/>
            <w:gridSpan w:val="2"/>
            <w:tcBorders>
              <w:top w:val="nil"/>
              <w:left w:val="single" w:color="auto" w:sz="4" w:space="0"/>
              <w:bottom w:val="single" w:color="auto" w:sz="4" w:space="0"/>
              <w:right w:val="single" w:color="auto" w:sz="4" w:space="0"/>
            </w:tcBorders>
            <w:vAlign w:val="center"/>
          </w:tcPr>
          <w:p w14:paraId="17D52A0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lang w:val="en-US" w:eastAsia="zh-CN"/>
                <w14:ligatures w14:val="none"/>
              </w:rPr>
            </w:pPr>
            <w:r>
              <w:rPr>
                <w:rFonts w:hint="default" w:ascii="Times New Roman" w:hAnsi="Times New Roman" w:eastAsia="宋体" w:cs="Times New Roman"/>
                <w:color w:val="000000"/>
                <w:kern w:val="0"/>
                <w:sz w:val="21"/>
                <w:szCs w:val="21"/>
                <w:lang w:val="en-US" w:eastAsia="zh-CN"/>
                <w14:ligatures w14:val="none"/>
              </w:rPr>
              <w:t>5</w:t>
            </w:r>
          </w:p>
        </w:tc>
        <w:tc>
          <w:tcPr>
            <w:tcW w:w="709" w:type="dxa"/>
            <w:gridSpan w:val="2"/>
            <w:tcBorders>
              <w:top w:val="nil"/>
              <w:left w:val="nil"/>
              <w:bottom w:val="single" w:color="auto" w:sz="4" w:space="0"/>
              <w:right w:val="single" w:color="auto" w:sz="4" w:space="0"/>
            </w:tcBorders>
            <w:vAlign w:val="center"/>
          </w:tcPr>
          <w:p w14:paraId="330298E7">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定制开发服务</w:t>
            </w:r>
          </w:p>
        </w:tc>
        <w:tc>
          <w:tcPr>
            <w:tcW w:w="850" w:type="dxa"/>
            <w:tcBorders>
              <w:top w:val="nil"/>
              <w:left w:val="nil"/>
              <w:bottom w:val="single" w:color="auto" w:sz="4" w:space="0"/>
              <w:right w:val="single" w:color="auto" w:sz="4" w:space="0"/>
            </w:tcBorders>
            <w:vAlign w:val="center"/>
          </w:tcPr>
          <w:p w14:paraId="502850E5">
            <w:pPr>
              <w:keepNext w:val="0"/>
              <w:keepLines w:val="0"/>
              <w:pageBreakBefore w:val="0"/>
              <w:widowControl/>
              <w:kinsoku/>
              <w:wordWrap/>
              <w:overflowPunct/>
              <w:topLinePunct w:val="0"/>
              <w:autoSpaceDE/>
              <w:autoSpaceDN/>
              <w:bidi w:val="0"/>
              <w:adjustRightInd/>
              <w:snapToGrid/>
              <w:spacing w:after="0" w:line="460" w:lineRule="exact"/>
              <w:jc w:val="center"/>
              <w:rPr>
                <w:rFonts w:hint="default" w:ascii="Times New Roman" w:hAnsi="Times New Roman" w:eastAsia="宋体" w:cs="Times New Roman"/>
                <w:color w:val="000000"/>
                <w:kern w:val="0"/>
                <w:sz w:val="21"/>
                <w:szCs w:val="21"/>
                <w14:ligatures w14:val="none"/>
              </w:rPr>
            </w:pPr>
            <w:r>
              <w:rPr>
                <w:rFonts w:hint="default" w:ascii="Times New Roman" w:hAnsi="Times New Roman" w:eastAsia="宋体" w:cs="Times New Roman"/>
                <w:color w:val="000000"/>
                <w:kern w:val="0"/>
                <w:sz w:val="21"/>
                <w:szCs w:val="21"/>
                <w14:ligatures w14:val="none"/>
              </w:rPr>
              <w:t>服务</w:t>
            </w:r>
          </w:p>
        </w:tc>
        <w:tc>
          <w:tcPr>
            <w:tcW w:w="6671" w:type="dxa"/>
            <w:gridSpan w:val="2"/>
            <w:tcBorders>
              <w:top w:val="nil"/>
              <w:left w:val="nil"/>
              <w:bottom w:val="single" w:color="auto" w:sz="4" w:space="0"/>
              <w:right w:val="single" w:color="auto" w:sz="4" w:space="0"/>
            </w:tcBorders>
            <w:shd w:val="clear" w:color="000000" w:fill="FFFFFF"/>
            <w:vAlign w:val="center"/>
          </w:tcPr>
          <w:p w14:paraId="45135238">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1、</w:t>
            </w:r>
            <w:r>
              <w:rPr>
                <w:rFonts w:hint="default" w:ascii="Times New Roman" w:hAnsi="Times New Roman" w:eastAsia="宋体" w:cs="Times New Roman"/>
                <w:color w:val="000000"/>
                <w:kern w:val="0"/>
                <w:szCs w:val="22"/>
                <w14:ligatures w14:val="none"/>
              </w:rPr>
              <w:t>根据优抚医院医护端及长者实际需求，提供个性化定制开发与系统适配服务。可定制专属监测规则</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提醒方案</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统计报表</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开发特殊功能模块，适配机构专属管理流程，实现软硬件联动优化。</w:t>
            </w:r>
          </w:p>
          <w:p w14:paraId="5FCF0984">
            <w:pPr>
              <w:pStyle w:val="11"/>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jc w:val="both"/>
              <w:rPr>
                <w:rFonts w:hint="default" w:ascii="Times New Roman" w:hAnsi="Times New Roman" w:eastAsia="宋体" w:cs="Times New Roman"/>
                <w:color w:val="000000"/>
                <w:kern w:val="0"/>
                <w:szCs w:val="22"/>
                <w14:ligatures w14:val="none"/>
              </w:rPr>
            </w:pPr>
            <w:r>
              <w:rPr>
                <w:rFonts w:hint="default" w:ascii="Times New Roman" w:hAnsi="Times New Roman" w:eastAsia="宋体" w:cs="Times New Roman"/>
                <w:color w:val="000000"/>
                <w:kern w:val="0"/>
                <w:szCs w:val="22"/>
                <w:lang w:val="en-US" w:eastAsia="zh-CN"/>
                <w14:ligatures w14:val="none"/>
              </w:rPr>
              <w:t>2、支持</w:t>
            </w:r>
            <w:r>
              <w:rPr>
                <w:rFonts w:hint="default" w:ascii="Times New Roman" w:hAnsi="Times New Roman" w:eastAsia="宋体" w:cs="Times New Roman"/>
                <w:color w:val="000000"/>
                <w:kern w:val="0"/>
                <w:szCs w:val="22"/>
                <w14:ligatures w14:val="none"/>
              </w:rPr>
              <w:t>第三方系统接口对接，档案台账模板定制；贴合实际管理与康养场景，灵活拓展平台功能，满足个性化</w:t>
            </w:r>
            <w:r>
              <w:rPr>
                <w:rFonts w:hint="default" w:ascii="Times New Roman" w:hAnsi="Times New Roman" w:eastAsia="宋体" w:cs="Times New Roman"/>
                <w:color w:val="000000"/>
                <w:kern w:val="0"/>
                <w:szCs w:val="22"/>
                <w:lang w:eastAsia="zh-CN"/>
                <w14:ligatures w14:val="none"/>
              </w:rPr>
              <w:t>、</w:t>
            </w:r>
            <w:r>
              <w:rPr>
                <w:rFonts w:hint="default" w:ascii="Times New Roman" w:hAnsi="Times New Roman" w:eastAsia="宋体" w:cs="Times New Roman"/>
                <w:color w:val="000000"/>
                <w:kern w:val="0"/>
                <w:szCs w:val="22"/>
                <w14:ligatures w14:val="none"/>
              </w:rPr>
              <w:t>专属化使用需求。</w:t>
            </w:r>
          </w:p>
        </w:tc>
      </w:tr>
      <w:tr w14:paraId="68587871">
        <w:tblPrEx>
          <w:tblCellMar>
            <w:top w:w="0" w:type="dxa"/>
            <w:left w:w="108" w:type="dxa"/>
            <w:bottom w:w="0" w:type="dxa"/>
            <w:right w:w="108" w:type="dxa"/>
          </w:tblCellMar>
        </w:tblPrEx>
        <w:trPr>
          <w:trHeight w:val="408" w:hRule="atLeast"/>
        </w:trPr>
        <w:tc>
          <w:tcPr>
            <w:tcW w:w="8800" w:type="dxa"/>
            <w:gridSpan w:val="7"/>
            <w:tcBorders>
              <w:top w:val="single" w:color="000000" w:sz="4" w:space="0"/>
              <w:left w:val="single" w:color="000000" w:sz="4" w:space="0"/>
              <w:bottom w:val="single" w:color="000000" w:sz="4" w:space="0"/>
              <w:right w:val="single" w:color="000000" w:sz="4" w:space="0"/>
            </w:tcBorders>
            <w:noWrap/>
            <w:vAlign w:val="center"/>
          </w:tcPr>
          <w:p w14:paraId="27C5318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kern w:val="0"/>
                <w:sz w:val="32"/>
                <w:szCs w:val="32"/>
                <w:lang w:bidi="ar"/>
              </w:rPr>
              <w:t>硬件需求</w:t>
            </w:r>
          </w:p>
        </w:tc>
      </w:tr>
      <w:tr w14:paraId="52AE3065">
        <w:tblPrEx>
          <w:tblCellMar>
            <w:top w:w="0" w:type="dxa"/>
            <w:left w:w="108" w:type="dxa"/>
            <w:bottom w:w="0" w:type="dxa"/>
            <w:right w:w="108" w:type="dxa"/>
          </w:tblCellMar>
        </w:tblPrEx>
        <w:trPr>
          <w:trHeight w:val="696"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3DE3DC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序号</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29DB7DA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硬件名称</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7D4FF3A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数量（台）</w:t>
            </w:r>
          </w:p>
        </w:tc>
        <w:tc>
          <w:tcPr>
            <w:tcW w:w="6581" w:type="dxa"/>
            <w:tcBorders>
              <w:top w:val="single" w:color="000000" w:sz="4" w:space="0"/>
              <w:left w:val="single" w:color="000000" w:sz="4" w:space="0"/>
              <w:bottom w:val="single" w:color="000000" w:sz="4" w:space="0"/>
              <w:right w:val="single" w:color="000000" w:sz="4" w:space="0"/>
            </w:tcBorders>
            <w:vAlign w:val="center"/>
          </w:tcPr>
          <w:p w14:paraId="4EC8544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b/>
                <w:bCs/>
                <w:color w:val="000000"/>
                <w:sz w:val="24"/>
              </w:rPr>
            </w:pPr>
            <w:r>
              <w:rPr>
                <w:rFonts w:hint="default" w:ascii="Times New Roman" w:hAnsi="Times New Roman" w:eastAsia="宋体" w:cs="Times New Roman"/>
                <w:b/>
                <w:bCs/>
                <w:color w:val="000000"/>
                <w:kern w:val="0"/>
                <w:sz w:val="24"/>
                <w:lang w:bidi="ar"/>
              </w:rPr>
              <w:t>型号/参数</w:t>
            </w:r>
          </w:p>
        </w:tc>
      </w:tr>
      <w:tr w14:paraId="248FDD24">
        <w:tblPrEx>
          <w:tblCellMar>
            <w:top w:w="0" w:type="dxa"/>
            <w:left w:w="108" w:type="dxa"/>
            <w:bottom w:w="0" w:type="dxa"/>
            <w:right w:w="108" w:type="dxa"/>
          </w:tblCellMar>
        </w:tblPrEx>
        <w:trPr>
          <w:trHeight w:val="9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6F23079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790FE2A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智能手环</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277DAC7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5</w:t>
            </w:r>
          </w:p>
        </w:tc>
        <w:tc>
          <w:tcPr>
            <w:tcW w:w="6581" w:type="dxa"/>
            <w:tcBorders>
              <w:top w:val="single" w:color="000000" w:sz="4" w:space="0"/>
              <w:left w:val="single" w:color="000000" w:sz="4" w:space="0"/>
              <w:bottom w:val="single" w:color="000000" w:sz="4" w:space="0"/>
              <w:right w:val="single" w:color="000000" w:sz="4" w:space="0"/>
            </w:tcBorders>
            <w:vAlign w:val="center"/>
          </w:tcPr>
          <w:p w14:paraId="41E702EA">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1、可实现的功能包含但不限于心率、血压、血氧、体温、压力健康数据监测。</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2、具备家庭健康管理模块，支持互联互通。</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3、具备常用功能，包含但不限于实时计步、信息通知，支持天气、音乐、拍照、秒表、闹钟等。</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4、支持数据远程传输。</w:t>
            </w:r>
          </w:p>
        </w:tc>
      </w:tr>
      <w:tr w14:paraId="6F2C9FFF">
        <w:tblPrEx>
          <w:tblCellMar>
            <w:top w:w="0" w:type="dxa"/>
            <w:left w:w="108" w:type="dxa"/>
            <w:bottom w:w="0" w:type="dxa"/>
            <w:right w:w="108" w:type="dxa"/>
          </w:tblCellMar>
        </w:tblPrEx>
        <w:trPr>
          <w:trHeight w:val="224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5907173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2</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3796EA7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智能跌倒探测器</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57EB95E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34</w:t>
            </w:r>
          </w:p>
        </w:tc>
        <w:tc>
          <w:tcPr>
            <w:tcW w:w="6581" w:type="dxa"/>
            <w:tcBorders>
              <w:top w:val="single" w:color="000000" w:sz="4" w:space="0"/>
              <w:left w:val="single" w:color="000000" w:sz="4" w:space="0"/>
              <w:bottom w:val="single" w:color="000000" w:sz="4" w:space="0"/>
              <w:right w:val="single" w:color="000000" w:sz="4" w:space="0"/>
            </w:tcBorders>
            <w:vAlign w:val="center"/>
          </w:tcPr>
          <w:p w14:paraId="6E771024">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1、支持顶装和平装，探测范围：顶装3m×3m，平装2m×3m，允差±5%。</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2、探测距离：顶装0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3m，平装前向0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6m、左右0</w:t>
            </w:r>
            <w:r>
              <w:rPr>
                <w:rFonts w:hint="default"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bidi="ar"/>
              </w:rPr>
              <w:t>2m，允差±5%。</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Cs w:val="22"/>
                <w14:ligatures w14:val="none"/>
              </w:rPr>
              <w:t>▲</w:t>
            </w:r>
            <w:r>
              <w:rPr>
                <w:rFonts w:hint="default" w:ascii="Times New Roman" w:hAnsi="Times New Roman" w:eastAsia="宋体" w:cs="Times New Roman"/>
                <w:color w:val="000000"/>
                <w:kern w:val="0"/>
                <w:sz w:val="21"/>
                <w:szCs w:val="21"/>
                <w:lang w:bidi="ar"/>
              </w:rPr>
              <w:t>3、可实现的功能包含但不限于人员存在检测、活动状态监测、跌倒警报、离开撤警。</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4、支持数据远程传输。</w:t>
            </w:r>
          </w:p>
        </w:tc>
      </w:tr>
      <w:tr w14:paraId="11B111D8">
        <w:tblPrEx>
          <w:tblCellMar>
            <w:top w:w="0" w:type="dxa"/>
            <w:left w:w="108" w:type="dxa"/>
            <w:bottom w:w="0" w:type="dxa"/>
            <w:right w:w="108" w:type="dxa"/>
          </w:tblCellMar>
        </w:tblPrEx>
        <w:trPr>
          <w:trHeight w:val="1364"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3C5848C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3</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73EE23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智能体征监测仪</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5BDB0E4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17</w:t>
            </w:r>
          </w:p>
        </w:tc>
        <w:tc>
          <w:tcPr>
            <w:tcW w:w="6581" w:type="dxa"/>
            <w:tcBorders>
              <w:top w:val="single" w:color="000000" w:sz="4" w:space="0"/>
              <w:left w:val="single" w:color="000000" w:sz="4" w:space="0"/>
              <w:bottom w:val="single" w:color="000000" w:sz="4" w:space="0"/>
              <w:right w:val="single" w:color="000000" w:sz="4" w:space="0"/>
            </w:tcBorders>
            <w:vAlign w:val="center"/>
          </w:tcPr>
          <w:p w14:paraId="4601A41A">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Cs w:val="22"/>
                <w14:ligatures w14:val="none"/>
              </w:rPr>
              <w:t>▲</w:t>
            </w:r>
            <w:r>
              <w:rPr>
                <w:rStyle w:val="13"/>
                <w:rFonts w:hint="default" w:ascii="Times New Roman" w:hAnsi="Times New Roman" w:eastAsia="宋体" w:cs="Times New Roman"/>
                <w:lang w:bidi="ar"/>
              </w:rPr>
              <w:t>1、</w:t>
            </w:r>
            <w:r>
              <w:rPr>
                <w:rStyle w:val="13"/>
                <w:rFonts w:hint="default" w:ascii="Times New Roman" w:hAnsi="Times New Roman" w:eastAsia="宋体" w:cs="Times New Roman"/>
                <w:lang w:val="en-US" w:eastAsia="zh-CN" w:bidi="ar"/>
              </w:rPr>
              <w:t>产品具备中华人民共和国医疗器械注册证</w:t>
            </w:r>
            <w:r>
              <w:rPr>
                <w:rFonts w:hint="default" w:ascii="Times New Roman" w:hAnsi="Times New Roman" w:eastAsia="宋体" w:cs="Times New Roman"/>
                <w:color w:val="000000"/>
                <w:kern w:val="0"/>
                <w:sz w:val="21"/>
                <w:szCs w:val="21"/>
                <w:lang w:bidi="ar"/>
              </w:rPr>
              <w:t>。</w:t>
            </w:r>
            <w:r>
              <w:rPr>
                <w:rStyle w:val="13"/>
                <w:rFonts w:hint="default" w:ascii="Times New Roman" w:hAnsi="Times New Roman" w:eastAsia="宋体" w:cs="Times New Roman"/>
                <w:lang w:bidi="ar"/>
              </w:rPr>
              <w:br w:type="textWrapping"/>
            </w:r>
            <w:r>
              <w:rPr>
                <w:rFonts w:hint="default" w:ascii="Times New Roman" w:hAnsi="Times New Roman" w:eastAsia="宋体" w:cs="Times New Roman"/>
                <w:color w:val="000000"/>
                <w:kern w:val="0"/>
                <w:szCs w:val="22"/>
                <w14:ligatures w14:val="none"/>
              </w:rPr>
              <w:t>▲</w:t>
            </w:r>
            <w:r>
              <w:rPr>
                <w:rStyle w:val="13"/>
                <w:rFonts w:hint="default" w:ascii="Times New Roman" w:hAnsi="Times New Roman" w:eastAsia="宋体" w:cs="Times New Roman"/>
                <w:lang w:bidi="ar"/>
              </w:rPr>
              <w:t>2、产品支持在线调试/升级</w:t>
            </w:r>
            <w:r>
              <w:rPr>
                <w:rStyle w:val="13"/>
                <w:rFonts w:hint="default" w:ascii="Times New Roman" w:hAnsi="Times New Roman" w:eastAsia="宋体" w:cs="Times New Roman"/>
                <w:lang w:eastAsia="zh-CN" w:bidi="ar"/>
              </w:rPr>
              <w:t>、</w:t>
            </w:r>
            <w:r>
              <w:rPr>
                <w:rStyle w:val="13"/>
                <w:rFonts w:hint="default" w:ascii="Times New Roman" w:hAnsi="Times New Roman" w:eastAsia="宋体" w:cs="Times New Roman"/>
                <w:lang w:val="en-US" w:eastAsia="zh-CN" w:bidi="ar"/>
              </w:rPr>
              <w:t>OTA</w:t>
            </w:r>
            <w:r>
              <w:rPr>
                <w:rStyle w:val="13"/>
                <w:rFonts w:hint="default" w:ascii="Times New Roman" w:hAnsi="Times New Roman" w:eastAsia="宋体" w:cs="Times New Roman"/>
                <w:lang w:bidi="ar"/>
              </w:rPr>
              <w:t>升级</w:t>
            </w:r>
            <w:r>
              <w:rPr>
                <w:rFonts w:hint="default" w:ascii="Times New Roman" w:hAnsi="Times New Roman" w:eastAsia="宋体" w:cs="Times New Roman"/>
                <w:color w:val="000000"/>
                <w:kern w:val="0"/>
                <w:sz w:val="21"/>
                <w:szCs w:val="21"/>
                <w:lang w:bidi="ar"/>
              </w:rPr>
              <w:t>。</w:t>
            </w:r>
            <w:r>
              <w:rPr>
                <w:rStyle w:val="13"/>
                <w:rFonts w:hint="default" w:ascii="Times New Roman" w:hAnsi="Times New Roman" w:eastAsia="宋体" w:cs="Times New Roman"/>
                <w:lang w:bidi="ar"/>
              </w:rPr>
              <w:br w:type="textWrapping"/>
            </w:r>
            <w:r>
              <w:rPr>
                <w:rStyle w:val="13"/>
                <w:rFonts w:hint="default" w:ascii="Times New Roman" w:hAnsi="Times New Roman" w:eastAsia="宋体" w:cs="Times New Roman"/>
                <w:lang w:bidi="ar"/>
              </w:rPr>
              <w:t>3、工作频率60GHz</w:t>
            </w:r>
            <w:r>
              <w:rPr>
                <w:rFonts w:hint="default" w:ascii="Times New Roman" w:hAnsi="Times New Roman" w:eastAsia="宋体" w:cs="Times New Roman"/>
                <w:color w:val="000000"/>
                <w:kern w:val="0"/>
                <w:sz w:val="21"/>
                <w:szCs w:val="21"/>
                <w:lang w:bidi="ar"/>
              </w:rPr>
              <w:t>。</w:t>
            </w:r>
            <w:r>
              <w:rPr>
                <w:rStyle w:val="13"/>
                <w:rFonts w:hint="default" w:ascii="Times New Roman" w:hAnsi="Times New Roman" w:eastAsia="宋体" w:cs="Times New Roman"/>
                <w:lang w:bidi="ar"/>
              </w:rPr>
              <w:br w:type="textWrapping"/>
            </w:r>
            <w:r>
              <w:rPr>
                <w:rFonts w:hint="default" w:ascii="Times New Roman" w:hAnsi="Times New Roman" w:eastAsia="宋体" w:cs="Times New Roman"/>
                <w:color w:val="000000"/>
                <w:kern w:val="0"/>
                <w:szCs w:val="22"/>
                <w14:ligatures w14:val="none"/>
              </w:rPr>
              <w:t>▲</w:t>
            </w:r>
            <w:r>
              <w:rPr>
                <w:rStyle w:val="13"/>
                <w:rFonts w:hint="default" w:ascii="Times New Roman" w:hAnsi="Times New Roman" w:eastAsia="宋体" w:cs="Times New Roman"/>
                <w:lang w:bidi="ar"/>
              </w:rPr>
              <w:t>4、可监测内容包含但不限于睡眠记录、翻身次数、呼吸数据、心率数据</w:t>
            </w:r>
            <w:r>
              <w:rPr>
                <w:rFonts w:hint="default" w:ascii="Times New Roman" w:hAnsi="Times New Roman" w:eastAsia="宋体" w:cs="Times New Roman"/>
                <w:color w:val="000000"/>
                <w:kern w:val="0"/>
                <w:sz w:val="21"/>
                <w:szCs w:val="21"/>
                <w:lang w:bidi="ar"/>
              </w:rPr>
              <w:t>。</w:t>
            </w:r>
            <w:r>
              <w:rPr>
                <w:rStyle w:val="13"/>
                <w:rFonts w:hint="default" w:ascii="Times New Roman" w:hAnsi="Times New Roman" w:eastAsia="宋体" w:cs="Times New Roman"/>
                <w:lang w:bidi="ar"/>
              </w:rPr>
              <w:br w:type="textWrapping"/>
            </w:r>
            <w:r>
              <w:rPr>
                <w:rStyle w:val="13"/>
                <w:rFonts w:hint="default" w:ascii="Times New Roman" w:hAnsi="Times New Roman" w:eastAsia="宋体" w:cs="Times New Roman"/>
                <w:lang w:bidi="ar"/>
              </w:rPr>
              <w:t>5、最大检测距离1.5m，允差±5%</w:t>
            </w:r>
            <w:r>
              <w:rPr>
                <w:rFonts w:hint="default" w:ascii="Times New Roman" w:hAnsi="Times New Roman" w:eastAsia="宋体" w:cs="Times New Roman"/>
                <w:color w:val="000000"/>
                <w:kern w:val="0"/>
                <w:sz w:val="21"/>
                <w:szCs w:val="21"/>
                <w:lang w:bidi="ar"/>
              </w:rPr>
              <w:t>。</w:t>
            </w:r>
            <w:r>
              <w:rPr>
                <w:rFonts w:hint="default" w:ascii="Times New Roman" w:hAnsi="Times New Roman" w:eastAsia="宋体" w:cs="Times New Roman"/>
                <w:color w:val="000000"/>
                <w:kern w:val="0"/>
                <w:sz w:val="21"/>
                <w:szCs w:val="21"/>
                <w:lang w:bidi="ar"/>
              </w:rPr>
              <w:br w:type="textWrapping"/>
            </w:r>
            <w:r>
              <w:rPr>
                <w:rStyle w:val="13"/>
                <w:rFonts w:hint="default" w:ascii="Times New Roman" w:hAnsi="Times New Roman" w:eastAsia="宋体" w:cs="Times New Roman"/>
                <w:lang w:val="en-US" w:eastAsia="zh-CN" w:bidi="ar"/>
              </w:rPr>
              <w:t>6、</w:t>
            </w:r>
            <w:r>
              <w:rPr>
                <w:rStyle w:val="13"/>
                <w:rFonts w:hint="default" w:ascii="Times New Roman" w:hAnsi="Times New Roman" w:eastAsia="宋体" w:cs="Times New Roman"/>
                <w:lang w:bidi="ar"/>
              </w:rPr>
              <w:t>支持数据远程传输。</w:t>
            </w:r>
          </w:p>
        </w:tc>
      </w:tr>
      <w:tr w14:paraId="10996484">
        <w:tblPrEx>
          <w:tblCellMar>
            <w:top w:w="0" w:type="dxa"/>
            <w:left w:w="108" w:type="dxa"/>
            <w:bottom w:w="0" w:type="dxa"/>
            <w:right w:w="108" w:type="dxa"/>
          </w:tblCellMar>
        </w:tblPrEx>
        <w:trPr>
          <w:trHeight w:val="8272" w:hRule="atLeast"/>
        </w:trPr>
        <w:tc>
          <w:tcPr>
            <w:tcW w:w="489" w:type="dxa"/>
            <w:vMerge w:val="restart"/>
            <w:tcBorders>
              <w:top w:val="single" w:color="000000" w:sz="4" w:space="0"/>
              <w:left w:val="single" w:color="000000" w:sz="4" w:space="0"/>
              <w:bottom w:val="single" w:color="000000" w:sz="4" w:space="0"/>
              <w:right w:val="single" w:color="000000" w:sz="4" w:space="0"/>
            </w:tcBorders>
            <w:vAlign w:val="center"/>
          </w:tcPr>
          <w:p w14:paraId="47A4A5A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4</w:t>
            </w:r>
          </w:p>
        </w:tc>
        <w:tc>
          <w:tcPr>
            <w:tcW w:w="75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6CBEA1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室内高分辨率半导体发光阵列</w:t>
            </w:r>
          </w:p>
        </w:tc>
        <w:tc>
          <w:tcPr>
            <w:tcW w:w="97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692A9F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vMerge w:val="restart"/>
            <w:tcBorders>
              <w:top w:val="single" w:color="000000" w:sz="4" w:space="0"/>
              <w:left w:val="nil"/>
              <w:bottom w:val="single" w:color="000000" w:sz="4" w:space="0"/>
              <w:right w:val="single" w:color="000000" w:sz="4" w:space="0"/>
            </w:tcBorders>
            <w:vAlign w:val="center"/>
          </w:tcPr>
          <w:p w14:paraId="3F0EA0B2">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模组核心规格</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物理点间距≥1.5mm，像素密度≥400000点/㎡；单模组分辨率208×104，尺寸320×160mm，允差±3%。</w:t>
            </w:r>
          </w:p>
          <w:p w14:paraId="65010E81">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显示视觉性能</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水平/垂直视角均≥175°；亮度200-800cd/㎡，均匀性≥99%，对比度≥10000</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1；刷新频率≥4200Hz、换帧频率≥60Hz，灰度等级 12-18bit可调；同步控制</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亮度支持软件0-100%自动/手动/定时调</w:t>
            </w:r>
            <w:r>
              <w:rPr>
                <w:rFonts w:hint="default" w:ascii="Times New Roman" w:hAnsi="Times New Roman" w:eastAsia="宋体" w:cs="Times New Roman"/>
                <w:color w:val="000000"/>
                <w:kern w:val="0"/>
                <w:sz w:val="21"/>
                <w:szCs w:val="21"/>
                <w:highlight w:val="none"/>
                <w:lang w:val="en-US" w:eastAsia="zh-CN" w:bidi="ar"/>
              </w:rPr>
              <w:t>节</w:t>
            </w:r>
            <w:r>
              <w:rPr>
                <w:rFonts w:hint="default" w:ascii="Times New Roman" w:hAnsi="Times New Roman" w:eastAsia="宋体" w:cs="Times New Roman"/>
                <w:color w:val="000000"/>
                <w:kern w:val="0"/>
                <w:sz w:val="21"/>
                <w:szCs w:val="21"/>
                <w:highlight w:val="none"/>
                <w:lang w:bidi="ar"/>
              </w:rPr>
              <w:t>。                                                                                                                                                                  ▲3</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在灯珠四侧以水平夹角45°的方向施加不低于20N的推力，灯珠未脱落显示正常。</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半导体发光屏灯珠抗拉机械强度≥1kg，下压受力≥200KN，抗拉拉力≥10Fm（kN）。</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▲5</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纳秒级显示技术无拖尾重影叠加现象，画面延时≤500ns，画面信噪比≥60dB。</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6</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支持脱机无信号下显示预制画面信息；支持无信号输入自动熄屏待机，有信号输入自动唤醒屏幕。</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7</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具备优异的表面防划痕技术</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表面硬度≥4H。</w:t>
            </w:r>
          </w:p>
        </w:tc>
      </w:tr>
      <w:tr w14:paraId="263E55CD">
        <w:tblPrEx>
          <w:tblCellMar>
            <w:top w:w="0" w:type="dxa"/>
            <w:left w:w="108" w:type="dxa"/>
            <w:bottom w:w="0" w:type="dxa"/>
            <w:right w:w="108" w:type="dxa"/>
          </w:tblCellMar>
        </w:tblPrEx>
        <w:trPr>
          <w:trHeight w:val="312" w:hRule="atLeast"/>
        </w:trPr>
        <w:tc>
          <w:tcPr>
            <w:tcW w:w="489" w:type="dxa"/>
            <w:vMerge w:val="continue"/>
            <w:tcBorders>
              <w:top w:val="single" w:color="000000" w:sz="4" w:space="0"/>
              <w:left w:val="single" w:color="000000" w:sz="4" w:space="0"/>
              <w:bottom w:val="single" w:color="000000" w:sz="4" w:space="0"/>
              <w:right w:val="single" w:color="000000" w:sz="4" w:space="0"/>
            </w:tcBorders>
            <w:vAlign w:val="center"/>
          </w:tcPr>
          <w:p w14:paraId="5FECB992">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75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A3AFF6D">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97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42C399B1">
            <w:pPr>
              <w:keepNext w:val="0"/>
              <w:keepLines w:val="0"/>
              <w:pageBreakBefore w:val="0"/>
              <w:kinsoku/>
              <w:wordWrap/>
              <w:overflowPunct/>
              <w:topLinePunct w:val="0"/>
              <w:autoSpaceDE/>
              <w:autoSpaceDN/>
              <w:bidi w:val="0"/>
              <w:adjustRightInd/>
              <w:snapToGrid/>
              <w:spacing w:line="460" w:lineRule="exact"/>
              <w:jc w:val="center"/>
              <w:rPr>
                <w:rFonts w:hint="default" w:ascii="Times New Roman" w:hAnsi="Times New Roman" w:eastAsia="宋体" w:cs="Times New Roman"/>
                <w:color w:val="000000"/>
                <w:sz w:val="21"/>
                <w:szCs w:val="21"/>
              </w:rPr>
            </w:pPr>
          </w:p>
        </w:tc>
        <w:tc>
          <w:tcPr>
            <w:tcW w:w="6581" w:type="dxa"/>
            <w:vMerge w:val="continue"/>
            <w:tcBorders>
              <w:top w:val="single" w:color="000000" w:sz="4" w:space="0"/>
              <w:left w:val="nil"/>
              <w:bottom w:val="single" w:color="000000" w:sz="4" w:space="0"/>
              <w:right w:val="single" w:color="000000" w:sz="4" w:space="0"/>
            </w:tcBorders>
            <w:vAlign w:val="center"/>
          </w:tcPr>
          <w:p w14:paraId="5039ADAF">
            <w:pPr>
              <w:keepNext w:val="0"/>
              <w:keepLines w:val="0"/>
              <w:pageBreakBefore w:val="0"/>
              <w:kinsoku/>
              <w:wordWrap/>
              <w:overflowPunct/>
              <w:topLinePunct w:val="0"/>
              <w:autoSpaceDE/>
              <w:autoSpaceDN/>
              <w:bidi w:val="0"/>
              <w:adjustRightInd/>
              <w:snapToGrid/>
              <w:spacing w:line="460" w:lineRule="exact"/>
              <w:rPr>
                <w:rFonts w:hint="default" w:ascii="Times New Roman" w:hAnsi="Times New Roman" w:eastAsia="宋体" w:cs="Times New Roman"/>
                <w:color w:val="000000"/>
                <w:sz w:val="21"/>
                <w:szCs w:val="21"/>
              </w:rPr>
            </w:pPr>
          </w:p>
        </w:tc>
      </w:tr>
      <w:tr w14:paraId="3BD84027">
        <w:tblPrEx>
          <w:tblCellMar>
            <w:top w:w="0" w:type="dxa"/>
            <w:left w:w="108" w:type="dxa"/>
            <w:bottom w:w="0" w:type="dxa"/>
            <w:right w:w="108" w:type="dxa"/>
          </w:tblCellMar>
        </w:tblPrEx>
        <w:trPr>
          <w:trHeight w:val="952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5B51A6F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5</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19121FA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数字化内容发布终端</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2CF538C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nil"/>
              <w:bottom w:val="single" w:color="000000" w:sz="4" w:space="0"/>
              <w:right w:val="single" w:color="000000" w:sz="4" w:space="0"/>
            </w:tcBorders>
            <w:vAlign w:val="center"/>
          </w:tcPr>
          <w:p w14:paraId="595AA5A6">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kern w:val="0"/>
                <w:sz w:val="21"/>
                <w:szCs w:val="21"/>
                <w:highlight w:val="none"/>
                <w:lang w:bidi="ar"/>
              </w:rPr>
              <w:t>数字化内容发布终端精简技术参数</w:t>
            </w:r>
            <w:r>
              <w:rPr>
                <w:rFonts w:hint="default"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1</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输入接口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HDMI2.0×1：最高支持3840×2160@60Hz</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支持HDCP1.4/2.2及音频输入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HDMI1.3×2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最高支持1920×1080@60Hz，支持HDCP1.4及音频输入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3G-SDI×1（选配）：支持3G/HD/SD标准视频，最高1920×1080@60Hz</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3.5mm音频接口×1：标准音频输入</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输出接口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RJ45千兆网口×6：信号输出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10G光口×1：光纤输出（不含光模块）</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HDMI1.3×1：预监输出，固定1920×1080@60Hz、HDMI2.0×1、3G-SDI×1（选配）：分别支持环路输出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3.5mm音频接口×1：标准音频输出</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前面板配置</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配备2.0寸</w:t>
            </w:r>
            <w:r>
              <w:rPr>
                <w:rFonts w:hint="default" w:ascii="Times New Roman" w:hAnsi="Times New Roman" w:eastAsia="宋体" w:cs="Times New Roman"/>
                <w:color w:val="000000"/>
                <w:kern w:val="0"/>
                <w:sz w:val="21"/>
                <w:szCs w:val="21"/>
                <w:highlight w:val="none"/>
                <w:lang w:val="en-US" w:eastAsia="zh-CN" w:bidi="ar"/>
              </w:rPr>
              <w:t>液晶屏</w:t>
            </w:r>
            <w:r>
              <w:rPr>
                <w:rFonts w:hint="default" w:ascii="Times New Roman" w:hAnsi="Times New Roman" w:eastAsia="宋体" w:cs="Times New Roman"/>
                <w:color w:val="000000"/>
                <w:kern w:val="0"/>
                <w:sz w:val="21"/>
                <w:szCs w:val="21"/>
                <w:highlight w:val="none"/>
                <w:lang w:bidi="ar"/>
              </w:rPr>
              <w:t>、开关机键、旋钮、返回键、图层/输入源快捷键、功能快捷键；设有USB方口（电脑调试）、USB3.0（U盘播放）。</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4</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控制接口</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以太网口×2</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t>上位机连接与设备级联、USB2.0×1：固件升级、RS232（3pin）×1：中控对接</w:t>
            </w:r>
            <w:r>
              <w:rPr>
                <w:rFonts w:hint="default" w:ascii="Times New Roman" w:hAnsi="Times New Roman" w:eastAsia="宋体" w:cs="Times New Roman"/>
                <w:color w:val="000000"/>
                <w:kern w:val="0"/>
                <w:sz w:val="21"/>
                <w:szCs w:val="21"/>
                <w:highlight w:val="none"/>
                <w:lang w:eastAsia="zh-CN" w:bidi="ar"/>
              </w:rPr>
              <w:t>。</w:t>
            </w:r>
          </w:p>
        </w:tc>
      </w:tr>
      <w:tr w14:paraId="0D32BFBD">
        <w:tblPrEx>
          <w:tblCellMar>
            <w:top w:w="0" w:type="dxa"/>
            <w:left w:w="108" w:type="dxa"/>
            <w:bottom w:w="0" w:type="dxa"/>
            <w:right w:w="108" w:type="dxa"/>
          </w:tblCellMar>
        </w:tblPrEx>
        <w:trPr>
          <w:trHeight w:val="1496"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3D1F5F5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6</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64DB742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医养</w:t>
            </w:r>
            <w:r>
              <w:rPr>
                <w:rFonts w:hint="default" w:ascii="Times New Roman" w:hAnsi="Times New Roman" w:eastAsia="宋体" w:cs="Times New Roman"/>
                <w:color w:val="000000"/>
                <w:kern w:val="0"/>
                <w:sz w:val="21"/>
                <w:szCs w:val="21"/>
                <w:highlight w:val="none"/>
                <w:lang w:bidi="ar"/>
              </w:rPr>
              <w:t>工作站</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56C841B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nil"/>
              <w:bottom w:val="single" w:color="000000" w:sz="4" w:space="0"/>
              <w:right w:val="single" w:color="000000" w:sz="4" w:space="0"/>
            </w:tcBorders>
            <w:vAlign w:val="center"/>
          </w:tcPr>
          <w:p w14:paraId="36032F53">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val="en-US" w:eastAsia="zh-CN" w:bidi="ar"/>
              </w:rPr>
              <w:t>1、</w:t>
            </w:r>
            <w:r>
              <w:rPr>
                <w:rFonts w:hint="default" w:ascii="Times New Roman" w:hAnsi="Times New Roman" w:eastAsia="宋体" w:cs="Times New Roman"/>
                <w:color w:val="000000"/>
                <w:kern w:val="0"/>
                <w:sz w:val="21"/>
                <w:szCs w:val="21"/>
                <w:highlight w:val="none"/>
                <w:lang w:bidi="ar"/>
              </w:rPr>
              <w:t>内存：≥16G</w:t>
            </w:r>
            <w:r>
              <w:rPr>
                <w:rFonts w:hint="default" w:ascii="Times New Roman" w:hAnsi="Times New Roman" w:eastAsia="宋体" w:cs="Times New Roman"/>
                <w:color w:val="000000"/>
                <w:kern w:val="0"/>
                <w:sz w:val="21"/>
                <w:szCs w:val="21"/>
                <w:highlight w:val="none"/>
                <w:lang w:eastAsia="zh-CN" w:bidi="ar"/>
              </w:rPr>
              <w:t>；</w:t>
            </w:r>
          </w:p>
          <w:p w14:paraId="1628376B">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2、</w:t>
            </w:r>
            <w:r>
              <w:rPr>
                <w:rFonts w:hint="default" w:ascii="Times New Roman" w:hAnsi="Times New Roman" w:eastAsia="宋体" w:cs="Times New Roman"/>
                <w:color w:val="000000"/>
                <w:kern w:val="0"/>
                <w:sz w:val="21"/>
                <w:szCs w:val="21"/>
                <w:highlight w:val="none"/>
                <w:lang w:bidi="ar"/>
              </w:rPr>
              <w:t>硬盘：≥1TB SSD（固态硬盘）</w:t>
            </w:r>
            <w:r>
              <w:rPr>
                <w:rFonts w:hint="default" w:ascii="Times New Roman" w:hAnsi="Times New Roman" w:eastAsia="宋体" w:cs="Times New Roman"/>
                <w:color w:val="000000"/>
                <w:kern w:val="0"/>
                <w:sz w:val="21"/>
                <w:szCs w:val="21"/>
                <w:highlight w:val="none"/>
                <w:lang w:eastAsia="zh-CN" w:bidi="ar"/>
              </w:rPr>
              <w:t>；</w:t>
            </w:r>
          </w:p>
          <w:p w14:paraId="027C2B2C">
            <w:pPr>
              <w:keepNext w:val="0"/>
              <w:keepLines w:val="0"/>
              <w:pageBreakBefore w:val="0"/>
              <w:widowControl/>
              <w:numPr>
                <w:ilvl w:val="0"/>
                <w:numId w:val="0"/>
              </w:numPr>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bidi="ar"/>
              </w:rPr>
              <w:t>3、</w:t>
            </w:r>
            <w:r>
              <w:rPr>
                <w:rFonts w:hint="default" w:ascii="Times New Roman" w:hAnsi="Times New Roman" w:eastAsia="宋体" w:cs="Times New Roman"/>
                <w:color w:val="000000"/>
                <w:kern w:val="0"/>
                <w:sz w:val="21"/>
                <w:szCs w:val="21"/>
                <w:highlight w:val="none"/>
                <w:lang w:bidi="ar"/>
              </w:rPr>
              <w:t>屏幕：≥21英寸</w:t>
            </w:r>
            <w:r>
              <w:rPr>
                <w:rFonts w:hint="default" w:ascii="Times New Roman" w:hAnsi="Times New Roman" w:eastAsia="宋体" w:cs="Times New Roman"/>
                <w:color w:val="000000"/>
                <w:kern w:val="0"/>
                <w:sz w:val="21"/>
                <w:szCs w:val="21"/>
                <w:highlight w:val="none"/>
                <w:lang w:eastAsia="zh-CN" w:bidi="ar"/>
              </w:rPr>
              <w:t>。</w:t>
            </w:r>
          </w:p>
        </w:tc>
      </w:tr>
      <w:tr w14:paraId="0A7DC17B">
        <w:tblPrEx>
          <w:tblCellMar>
            <w:top w:w="0" w:type="dxa"/>
            <w:left w:w="108" w:type="dxa"/>
            <w:bottom w:w="0" w:type="dxa"/>
            <w:right w:w="108" w:type="dxa"/>
          </w:tblCellMar>
        </w:tblPrEx>
        <w:trPr>
          <w:trHeight w:val="460"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7BB6A2A6">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eastAsia" w:ascii="Times New Roman" w:hAnsi="Times New Roman" w:eastAsia="宋体" w:cs="Times New Roman"/>
                <w:color w:val="000000"/>
                <w:kern w:val="0"/>
                <w:sz w:val="21"/>
                <w:szCs w:val="21"/>
                <w:highlight w:val="none"/>
                <w:lang w:val="en-US" w:eastAsia="zh-CN" w:bidi="ar"/>
              </w:rPr>
              <w:t>7</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077251E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护士工作站</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44A450F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p>
        </w:tc>
        <w:tc>
          <w:tcPr>
            <w:tcW w:w="6581" w:type="dxa"/>
            <w:tcBorders>
              <w:top w:val="single" w:color="000000" w:sz="4" w:space="0"/>
              <w:left w:val="single" w:color="000000" w:sz="4" w:space="0"/>
              <w:bottom w:val="single" w:color="000000" w:sz="4" w:space="0"/>
              <w:right w:val="single" w:color="000000" w:sz="4" w:space="0"/>
            </w:tcBorders>
            <w:vAlign w:val="center"/>
          </w:tcPr>
          <w:p w14:paraId="4202B6A7">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kern w:val="0"/>
                <w:sz w:val="21"/>
                <w:szCs w:val="21"/>
                <w:highlight w:val="none"/>
                <w:lang w:bidi="ar"/>
              </w:rPr>
              <w:t>1、</w:t>
            </w:r>
            <w:r>
              <w:rPr>
                <w:rFonts w:hint="default" w:ascii="Times New Roman" w:hAnsi="Times New Roman" w:eastAsia="宋体" w:cs="Times New Roman"/>
                <w:color w:val="000000"/>
                <w:kern w:val="0"/>
                <w:sz w:val="21"/>
                <w:szCs w:val="21"/>
                <w:highlight w:val="none"/>
                <w:lang w:val="en-US" w:eastAsia="zh-CN" w:bidi="ar"/>
              </w:rPr>
              <w:t>屏幕≥100寸，支持触摸操作功能；</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2、支持高清画质显示与精准多点触控，触控响应灵敏，满足长距离查看</w:t>
            </w:r>
            <w:r>
              <w:rPr>
                <w:rFonts w:hint="default" w:ascii="Times New Roman" w:hAnsi="Times New Roman" w:eastAsia="宋体" w:cs="Times New Roman"/>
                <w:color w:val="000000"/>
                <w:kern w:val="0"/>
                <w:sz w:val="21"/>
                <w:szCs w:val="21"/>
                <w:highlight w:val="none"/>
                <w:lang w:eastAsia="zh-CN" w:bidi="ar"/>
              </w:rPr>
              <w:t>。</w:t>
            </w:r>
            <w:r>
              <w:rPr>
                <w:rFonts w:hint="default" w:ascii="Times New Roman" w:hAnsi="Times New Roman" w:eastAsia="宋体" w:cs="Times New Roman"/>
                <w:color w:val="000000"/>
                <w:kern w:val="0"/>
                <w:sz w:val="21"/>
                <w:szCs w:val="21"/>
                <w:highlight w:val="none"/>
                <w:lang w:bidi="ar"/>
              </w:rPr>
              <w:br w:type="textWrapping"/>
            </w:r>
            <w:r>
              <w:rPr>
                <w:rFonts w:hint="default" w:ascii="Times New Roman" w:hAnsi="Times New Roman" w:eastAsia="宋体" w:cs="Times New Roman"/>
                <w:color w:val="000000"/>
                <w:kern w:val="0"/>
                <w:sz w:val="21"/>
                <w:szCs w:val="21"/>
                <w:highlight w:val="none"/>
                <w:lang w:bidi="ar"/>
              </w:rPr>
              <w:t>3、便捷交互操作需求。</w:t>
            </w:r>
          </w:p>
        </w:tc>
      </w:tr>
      <w:tr w14:paraId="440643EB">
        <w:tblPrEx>
          <w:tblCellMar>
            <w:top w:w="0" w:type="dxa"/>
            <w:left w:w="108" w:type="dxa"/>
            <w:bottom w:w="0" w:type="dxa"/>
            <w:right w:w="108" w:type="dxa"/>
          </w:tblCellMar>
        </w:tblPrEx>
        <w:trPr>
          <w:trHeight w:val="5535" w:hRule="atLeast"/>
        </w:trPr>
        <w:tc>
          <w:tcPr>
            <w:tcW w:w="489" w:type="dxa"/>
            <w:tcBorders>
              <w:top w:val="single" w:color="000000" w:sz="4" w:space="0"/>
              <w:left w:val="single" w:color="000000" w:sz="4" w:space="0"/>
              <w:bottom w:val="single" w:color="000000" w:sz="4" w:space="0"/>
              <w:right w:val="single" w:color="000000" w:sz="4" w:space="0"/>
            </w:tcBorders>
            <w:vAlign w:val="center"/>
          </w:tcPr>
          <w:p w14:paraId="7B05F3B3">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8</w:t>
            </w:r>
          </w:p>
        </w:tc>
        <w:tc>
          <w:tcPr>
            <w:tcW w:w="754" w:type="dxa"/>
            <w:gridSpan w:val="2"/>
            <w:tcBorders>
              <w:top w:val="single" w:color="000000" w:sz="4" w:space="0"/>
              <w:left w:val="single" w:color="000000" w:sz="4" w:space="0"/>
              <w:bottom w:val="single" w:color="000000" w:sz="4" w:space="0"/>
              <w:right w:val="single" w:color="000000" w:sz="4" w:space="0"/>
            </w:tcBorders>
            <w:vAlign w:val="center"/>
          </w:tcPr>
          <w:p w14:paraId="510AB1D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配电柜</w:t>
            </w:r>
          </w:p>
        </w:tc>
        <w:tc>
          <w:tcPr>
            <w:tcW w:w="976" w:type="dxa"/>
            <w:gridSpan w:val="3"/>
            <w:tcBorders>
              <w:top w:val="single" w:color="000000" w:sz="4" w:space="0"/>
              <w:left w:val="single" w:color="000000" w:sz="4" w:space="0"/>
              <w:bottom w:val="single" w:color="000000" w:sz="4" w:space="0"/>
              <w:right w:val="single" w:color="000000" w:sz="4" w:space="0"/>
            </w:tcBorders>
            <w:vAlign w:val="center"/>
          </w:tcPr>
          <w:p w14:paraId="64C5A6D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p>
        </w:tc>
        <w:tc>
          <w:tcPr>
            <w:tcW w:w="6581" w:type="dxa"/>
            <w:tcBorders>
              <w:top w:val="single" w:color="000000" w:sz="4" w:space="0"/>
              <w:left w:val="nil"/>
              <w:bottom w:val="single" w:color="000000" w:sz="4" w:space="0"/>
              <w:right w:val="single" w:color="000000" w:sz="4" w:space="0"/>
            </w:tcBorders>
            <w:vAlign w:val="center"/>
          </w:tcPr>
          <w:p w14:paraId="407EA503">
            <w:pPr>
              <w:keepNext w:val="0"/>
              <w:keepLines w:val="0"/>
              <w:pageBreakBefore w:val="0"/>
              <w:widowControl/>
              <w:kinsoku/>
              <w:wordWrap/>
              <w:overflowPunct/>
              <w:topLinePunct w:val="0"/>
              <w:autoSpaceDE/>
              <w:autoSpaceDN/>
              <w:bidi w:val="0"/>
              <w:adjustRightInd/>
              <w:snapToGrid/>
              <w:spacing w:line="460" w:lineRule="exact"/>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基础性能参数</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额定功率：10kW，配备3路独立输出通道</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额定电流：16.8A，主断路器规格为40A</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交流接触器：标配1台额定电流32A的交流接触器</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eastAsia="zh-CN" w:bidi="ar"/>
              </w:rPr>
              <w:br w:type="textWrapping"/>
            </w: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电气接入要求</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输入电源：三相五线制AC380V，电压波动范围±10%，适配50Hz工频，频率波动±5%</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输出电源：单相220V交流电，满足常规用电设备需求</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eastAsia="zh-CN" w:bidi="ar"/>
              </w:rPr>
              <w:t>、</w:t>
            </w:r>
            <w:r>
              <w:rPr>
                <w:rFonts w:hint="default" w:ascii="Times New Roman" w:hAnsi="Times New Roman" w:eastAsia="宋体" w:cs="Times New Roman"/>
                <w:color w:val="000000"/>
                <w:kern w:val="0"/>
                <w:sz w:val="21"/>
                <w:szCs w:val="21"/>
                <w:lang w:bidi="ar"/>
              </w:rPr>
              <w:t>控制模式要求</w:t>
            </w:r>
            <w:r>
              <w:rPr>
                <w:rFonts w:hint="default" w:ascii="Times New Roman" w:hAnsi="Times New Roman" w:eastAsia="宋体" w:cs="Times New Roman"/>
                <w:color w:val="000000"/>
                <w:kern w:val="0"/>
                <w:sz w:val="21"/>
                <w:szCs w:val="21"/>
                <w:lang w:bidi="ar"/>
              </w:rPr>
              <w:br w:type="textWrapping"/>
            </w:r>
            <w:r>
              <w:rPr>
                <w:rFonts w:hint="default" w:ascii="Times New Roman" w:hAnsi="Times New Roman" w:eastAsia="宋体" w:cs="Times New Roman"/>
                <w:color w:val="000000"/>
                <w:kern w:val="0"/>
                <w:sz w:val="21"/>
                <w:szCs w:val="21"/>
                <w:lang w:bidi="ar"/>
              </w:rPr>
              <w:t>设备支持多元化控制方式，兼顾远程操作、现场操作与自动化控制，具体包含：PLC远程控制、手动现场控制、定时自动控制、中控集中控制、无线遥控控制，可根据实际使用场景灵活切换。</w:t>
            </w:r>
          </w:p>
        </w:tc>
      </w:tr>
    </w:tbl>
    <w:p w14:paraId="44F8372C">
      <w:pPr>
        <w:pStyle w:val="3"/>
        <w:rPr>
          <w:rFonts w:hint="default"/>
          <w:lang w:val="en-US" w:eastAsia="zh-CN"/>
        </w:rPr>
      </w:pPr>
    </w:p>
    <w:p w14:paraId="4DBC157D">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B39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A032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4A032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B0A79"/>
    <w:rsid w:val="07BB0A79"/>
    <w:rsid w:val="5E5A3560"/>
    <w:rsid w:val="6CBD3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3"/>
    <w:next w:val="1"/>
    <w:semiHidden/>
    <w:unhideWhenUsed/>
    <w:qFormat/>
    <w:uiPriority w:val="0"/>
    <w:pPr>
      <w:widowControl w:val="0"/>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styleId="6">
    <w:name w:val="Normal Indent"/>
    <w:basedOn w:val="1"/>
    <w:qFormat/>
    <w:uiPriority w:val="0"/>
    <w:pPr>
      <w:ind w:firstLine="420"/>
    </w:pPr>
    <w:rPr>
      <w:szCs w:val="20"/>
    </w:rPr>
  </w:style>
  <w:style w:type="paragraph" w:styleId="7">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character" w:customStyle="1" w:styleId="13">
    <w:name w:val="font31"/>
    <w:basedOn w:val="10"/>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4048</Words>
  <Characters>4158</Characters>
  <Lines>0</Lines>
  <Paragraphs>0</Paragraphs>
  <TotalTime>0</TotalTime>
  <ScaleCrop>false</ScaleCrop>
  <LinksUpToDate>false</LinksUpToDate>
  <CharactersWithSpaces>4430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2026-05-29T09:23:00Z</dcterms:created>
  <dc:creator>卑微小虎崽</dc:creator>
  <cp:lastModifiedBy>卑微小虎崽</cp:lastModifiedBy>
  <dcterms:modified xsi:type="dcterms:W3CDTF">2026-06-02T08:25:29Z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916AC3296E1E4CF7BB188168486A2C51_13</vt:lpwstr>
  </property>
  <property fmtid="{D5CDD505-2E9C-101B-9397-08002B2CF9AE}" pid="4" name="KSOTemplateDocerSaveRecord">
    <vt:lpwstr>eyJoZGlkIjoiMTBiZDkyZDdiNjQ3ODk4YzI4M2RmZDNmYTRiZGJiNjkiLCJ1c2VySWQiOiIxMzQ0MTYwMDk1In0=</vt:lpwstr>
  </property>
</Properties>
</file>