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EA3A1">
      <w:pPr>
        <w:keepNext w:val="0"/>
        <w:keepLines w:val="0"/>
        <w:pageBreakBefore w:val="0"/>
        <w:kinsoku/>
        <w:wordWrap/>
        <w:overflowPunct/>
        <w:topLinePunct w:val="0"/>
        <w:bidi w:val="0"/>
        <w:spacing w:line="576" w:lineRule="exact"/>
        <w:rPr>
          <w:rFonts w:hint="eastAsia"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w:t>
      </w:r>
      <w:r>
        <w:rPr>
          <w:rFonts w:hint="eastAsia" w:ascii="Times New Roman" w:hAnsi="Times New Roman"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val="en-US" w:eastAsia="zh-CN"/>
        </w:rPr>
        <w:t>合同补充协议范本（参考广东政府采购智慧云平台定点议价采购合同范本，具体细则以双方协定为准）</w:t>
      </w:r>
    </w:p>
    <w:p w14:paraId="6CF91267">
      <w:pPr>
        <w:pStyle w:val="7"/>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222222"/>
          <w:sz w:val="32"/>
          <w:szCs w:val="32"/>
          <w:lang w:val="en-US" w:eastAsia="zh-CN"/>
        </w:rPr>
      </w:pPr>
    </w:p>
    <w:p w14:paraId="5769C295">
      <w:pPr>
        <w:pStyle w:val="7"/>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222222"/>
          <w:sz w:val="32"/>
          <w:szCs w:val="32"/>
          <w:lang w:val="en-US" w:eastAsia="zh-CN"/>
        </w:rPr>
      </w:pPr>
      <w:r>
        <w:rPr>
          <w:rFonts w:hint="eastAsia" w:ascii="宋体" w:hAnsi="宋体" w:eastAsia="宋体" w:cs="宋体"/>
          <w:b/>
          <w:bCs/>
          <w:color w:val="222222"/>
          <w:sz w:val="32"/>
          <w:szCs w:val="32"/>
          <w:lang w:val="en-US" w:eastAsia="zh-CN"/>
        </w:rPr>
        <w:t>广东省第一荣军优抚医院2025年度内部控制风险评估服务项目合同补充协议</w:t>
      </w:r>
    </w:p>
    <w:p w14:paraId="7C0337FF">
      <w:pPr>
        <w:pStyle w:val="7"/>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222222"/>
          <w:sz w:val="28"/>
          <w:lang w:val="en-US" w:eastAsia="zh-CN"/>
        </w:rPr>
      </w:pPr>
    </w:p>
    <w:p w14:paraId="351A58F3">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甲　　方：</w:t>
      </w:r>
      <w:r>
        <w:rPr>
          <w:rFonts w:hint="default" w:ascii="Times New Roman" w:hAnsi="Times New Roman" w:cs="Times New Roman"/>
          <w:b/>
          <w:sz w:val="24"/>
          <w:lang w:eastAsia="zh-CN"/>
        </w:rPr>
        <w:t>广东省第一荣军优抚医院</w:t>
      </w:r>
    </w:p>
    <w:p w14:paraId="04D95081">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lang w:val="en-US" w:eastAsia="zh-CN"/>
        </w:rPr>
        <w:t>020-84187600-26</w:t>
      </w:r>
      <w:r>
        <w:rPr>
          <w:rFonts w:hint="eastAsia" w:ascii="Times New Roman" w:hAnsi="Times New Roman" w:cs="Times New Roman"/>
          <w:sz w:val="24"/>
          <w:lang w:val="en-US" w:eastAsia="zh-CN"/>
        </w:rPr>
        <w:t>39</w:t>
      </w:r>
      <w:r>
        <w:rPr>
          <w:rFonts w:hint="default" w:ascii="Times New Roman" w:hAnsi="Times New Roman" w:cs="Times New Roman"/>
          <w:sz w:val="24"/>
        </w:rPr>
        <w:t>　　</w:t>
      </w:r>
    </w:p>
    <w:p w14:paraId="2DD1F6D0">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地　　址：</w:t>
      </w:r>
      <w:r>
        <w:rPr>
          <w:rFonts w:hint="default" w:ascii="Times New Roman" w:hAnsi="Times New Roman" w:cs="Times New Roman"/>
          <w:sz w:val="24"/>
          <w:lang w:eastAsia="zh-CN"/>
        </w:rPr>
        <w:t>广州市海珠区新港西路</w:t>
      </w:r>
      <w:r>
        <w:rPr>
          <w:rFonts w:hint="default" w:ascii="Times New Roman" w:hAnsi="Times New Roman" w:cs="Times New Roman"/>
          <w:sz w:val="24"/>
          <w:lang w:val="en-US" w:eastAsia="zh-CN"/>
        </w:rPr>
        <w:t>114号</w:t>
      </w:r>
    </w:p>
    <w:p w14:paraId="62EBB2D3">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rPr>
      </w:pPr>
    </w:p>
    <w:p w14:paraId="32C60320">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乙　　方：</w:t>
      </w:r>
      <w:r>
        <w:rPr>
          <w:rFonts w:hint="default" w:ascii="Times New Roman" w:hAnsi="Times New Roman" w:cs="Times New Roman"/>
          <w:b/>
          <w:sz w:val="24"/>
          <w:u w:val="single"/>
          <w:lang w:val="en-US" w:eastAsia="zh-CN"/>
        </w:rPr>
        <w:t>XX公司</w:t>
      </w:r>
    </w:p>
    <w:p w14:paraId="4451E69D">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　　</w:t>
      </w:r>
    </w:p>
    <w:p w14:paraId="29AAC85B">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rPr>
        <w:t>地　　址：</w:t>
      </w:r>
    </w:p>
    <w:p w14:paraId="11F88977">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7B83776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根据</w:t>
      </w:r>
      <w:bookmarkStart w:id="0" w:name="OLE_LINK1"/>
      <w:r>
        <w:rPr>
          <w:rFonts w:hint="default" w:ascii="Times New Roman" w:hAnsi="Times New Roman" w:cs="Times New Roman"/>
          <w:sz w:val="24"/>
          <w:u w:val="single"/>
        </w:rPr>
        <w:t>广东省第一荣军优抚医院</w:t>
      </w:r>
      <w:bookmarkEnd w:id="0"/>
      <w:r>
        <w:rPr>
          <w:rFonts w:hint="default" w:ascii="Times New Roman" w:hAnsi="Times New Roman" w:cs="Times New Roman"/>
          <w:sz w:val="24"/>
          <w:u w:val="single"/>
        </w:rPr>
        <w:t>2025年度内部控制风险评估服务项目</w:t>
      </w:r>
      <w:r>
        <w:rPr>
          <w:rFonts w:hint="default" w:ascii="Times New Roman" w:hAnsi="Times New Roman" w:cs="Times New Roman"/>
          <w:sz w:val="24"/>
        </w:rPr>
        <w:t>的采购结果，按照《中华人民共和国政府采购法》《中华人民共和国民法典</w:t>
      </w:r>
      <w:r>
        <w:rPr>
          <w:rFonts w:hint="default" w:ascii="Times New Roman" w:hAnsi="Times New Roman" w:cs="Times New Roman"/>
          <w:sz w:val="24"/>
          <w:lang w:eastAsia="zh-CN"/>
        </w:rPr>
        <w:t>（</w:t>
      </w:r>
      <w:r>
        <w:rPr>
          <w:rFonts w:hint="default" w:ascii="Times New Roman" w:hAnsi="Times New Roman" w:cs="Times New Roman"/>
          <w:sz w:val="24"/>
        </w:rPr>
        <w:t>合同编</w:t>
      </w:r>
      <w:r>
        <w:rPr>
          <w:rFonts w:hint="default" w:ascii="Times New Roman" w:hAnsi="Times New Roman" w:cs="Times New Roman"/>
          <w:sz w:val="24"/>
          <w:lang w:eastAsia="zh-CN"/>
        </w:rPr>
        <w:t>）</w:t>
      </w:r>
      <w:r>
        <w:rPr>
          <w:rFonts w:hint="default" w:ascii="Times New Roman" w:hAnsi="Times New Roman" w:cs="Times New Roman"/>
          <w:sz w:val="24"/>
        </w:rPr>
        <w:t>》的规定，经双方协商，本着平等互利和诚实信用的原则，一致同意签订本</w:t>
      </w:r>
      <w:r>
        <w:rPr>
          <w:rFonts w:hint="eastAsia" w:ascii="Times New Roman" w:hAnsi="Times New Roman" w:cs="Times New Roman"/>
          <w:sz w:val="24"/>
          <w:lang w:val="en-US" w:eastAsia="zh-CN"/>
        </w:rPr>
        <w:t>协议</w:t>
      </w:r>
      <w:r>
        <w:rPr>
          <w:rFonts w:hint="default" w:ascii="Times New Roman" w:hAnsi="Times New Roman" w:cs="Times New Roman"/>
          <w:sz w:val="24"/>
        </w:rPr>
        <w:t>如下。</w:t>
      </w:r>
    </w:p>
    <w:p w14:paraId="678C796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一、</w:t>
      </w:r>
      <w:r>
        <w:rPr>
          <w:rFonts w:hint="eastAsia" w:ascii="Times New Roman" w:hAnsi="Times New Roman" w:cs="Times New Roman"/>
          <w:b/>
          <w:sz w:val="24"/>
          <w:lang w:val="en-US" w:eastAsia="zh-CN"/>
        </w:rPr>
        <w:t>服务</w:t>
      </w:r>
      <w:r>
        <w:rPr>
          <w:rFonts w:hint="default" w:ascii="Times New Roman" w:hAnsi="Times New Roman" w:cs="Times New Roman"/>
          <w:b/>
          <w:sz w:val="24"/>
        </w:rPr>
        <w:t>内容</w:t>
      </w:r>
    </w:p>
    <w:tbl>
      <w:tblPr>
        <w:tblStyle w:val="5"/>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780"/>
        <w:gridCol w:w="888"/>
        <w:gridCol w:w="2202"/>
        <w:gridCol w:w="2640"/>
      </w:tblGrid>
      <w:tr w14:paraId="1B13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Mar>
              <w:top w:w="45" w:type="dxa"/>
              <w:left w:w="75" w:type="dxa"/>
              <w:bottom w:w="30" w:type="dxa"/>
              <w:right w:w="75" w:type="dxa"/>
            </w:tcMar>
            <w:vAlign w:val="center"/>
          </w:tcPr>
          <w:p w14:paraId="74E7C954">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名称</w:t>
            </w:r>
          </w:p>
        </w:tc>
        <w:tc>
          <w:tcPr>
            <w:tcW w:w="780" w:type="dxa"/>
            <w:tcMar>
              <w:top w:w="45" w:type="dxa"/>
              <w:left w:w="75" w:type="dxa"/>
              <w:bottom w:w="30" w:type="dxa"/>
              <w:right w:w="75" w:type="dxa"/>
            </w:tcMar>
            <w:vAlign w:val="center"/>
          </w:tcPr>
          <w:p w14:paraId="43845840">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w:t>
            </w:r>
          </w:p>
        </w:tc>
        <w:tc>
          <w:tcPr>
            <w:tcW w:w="888" w:type="dxa"/>
            <w:tcMar>
              <w:top w:w="45" w:type="dxa"/>
              <w:left w:w="75" w:type="dxa"/>
              <w:bottom w:w="30" w:type="dxa"/>
              <w:right w:w="75" w:type="dxa"/>
            </w:tcMar>
            <w:vAlign w:val="center"/>
          </w:tcPr>
          <w:p w14:paraId="7C0B1A03">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2202" w:type="dxa"/>
            <w:tcMar>
              <w:top w:w="45" w:type="dxa"/>
              <w:left w:w="75" w:type="dxa"/>
              <w:bottom w:w="30" w:type="dxa"/>
              <w:right w:w="75" w:type="dxa"/>
            </w:tcMar>
            <w:vAlign w:val="center"/>
          </w:tcPr>
          <w:p w14:paraId="7773F075">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单价</w:t>
            </w:r>
          </w:p>
          <w:p w14:paraId="0A6CC07C">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c>
          <w:tcPr>
            <w:tcW w:w="2640" w:type="dxa"/>
            <w:tcMar>
              <w:top w:w="45" w:type="dxa"/>
              <w:left w:w="75" w:type="dxa"/>
              <w:bottom w:w="30" w:type="dxa"/>
              <w:right w:w="75" w:type="dxa"/>
            </w:tcMar>
            <w:vAlign w:val="center"/>
          </w:tcPr>
          <w:p w14:paraId="350FAB16">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金额</w:t>
            </w:r>
          </w:p>
          <w:p w14:paraId="4602E7B5">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r>
      <w:tr w14:paraId="1DF6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Mar>
              <w:top w:w="45" w:type="dxa"/>
              <w:left w:w="75" w:type="dxa"/>
              <w:bottom w:w="45" w:type="dxa"/>
              <w:right w:w="75" w:type="dxa"/>
            </w:tcMar>
            <w:vAlign w:val="center"/>
          </w:tcPr>
          <w:p w14:paraId="177A75FB">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广东省第一荣军优抚医院2025年度内部控制风险评估服务项目</w:t>
            </w:r>
          </w:p>
        </w:tc>
        <w:tc>
          <w:tcPr>
            <w:tcW w:w="780" w:type="dxa"/>
            <w:tcMar>
              <w:top w:w="45" w:type="dxa"/>
              <w:left w:w="75" w:type="dxa"/>
              <w:bottom w:w="45" w:type="dxa"/>
              <w:right w:w="75" w:type="dxa"/>
            </w:tcMar>
            <w:vAlign w:val="center"/>
          </w:tcPr>
          <w:p w14:paraId="030CE543">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p>
        </w:tc>
        <w:tc>
          <w:tcPr>
            <w:tcW w:w="888" w:type="dxa"/>
            <w:tcMar>
              <w:top w:w="45" w:type="dxa"/>
              <w:left w:w="75" w:type="dxa"/>
              <w:bottom w:w="45" w:type="dxa"/>
              <w:right w:w="75" w:type="dxa"/>
            </w:tcMar>
            <w:vAlign w:val="center"/>
          </w:tcPr>
          <w:p w14:paraId="2A39A27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w:t>
            </w:r>
          </w:p>
        </w:tc>
        <w:tc>
          <w:tcPr>
            <w:tcW w:w="2202" w:type="dxa"/>
            <w:tcMar>
              <w:top w:w="45" w:type="dxa"/>
              <w:left w:w="75" w:type="dxa"/>
              <w:bottom w:w="45" w:type="dxa"/>
              <w:right w:w="75" w:type="dxa"/>
            </w:tcMar>
            <w:vAlign w:val="center"/>
          </w:tcPr>
          <w:p w14:paraId="5290CC32">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2640" w:type="dxa"/>
            <w:tcMar>
              <w:top w:w="45" w:type="dxa"/>
              <w:left w:w="75" w:type="dxa"/>
              <w:bottom w:w="45" w:type="dxa"/>
              <w:right w:w="75" w:type="dxa"/>
            </w:tcMar>
            <w:vAlign w:val="center"/>
          </w:tcPr>
          <w:p w14:paraId="0749944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17AA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gridSpan w:val="5"/>
            <w:tcMar>
              <w:top w:w="45" w:type="dxa"/>
              <w:left w:w="75" w:type="dxa"/>
              <w:bottom w:w="45" w:type="dxa"/>
              <w:right w:w="75" w:type="dxa"/>
            </w:tcMar>
            <w:vAlign w:val="center"/>
          </w:tcPr>
          <w:p w14:paraId="3CB16BFF">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合计：人民币（大写）：人民币</w:t>
            </w:r>
            <w:r>
              <w:rPr>
                <w:rFonts w:hint="eastAsia" w:ascii="Times New Roman" w:hAnsi="Times New Roman" w:cs="Times New Roman"/>
                <w:sz w:val="24"/>
                <w:szCs w:val="24"/>
                <w:lang w:val="en-US" w:eastAsia="zh-CN"/>
              </w:rPr>
              <w:t>XX</w:t>
            </w:r>
            <w:r>
              <w:rPr>
                <w:rFonts w:hint="default" w:ascii="Times New Roman" w:hAnsi="Times New Roman" w:cs="Times New Roman"/>
                <w:sz w:val="24"/>
                <w:szCs w:val="24"/>
                <w:lang w:val="en-US" w:eastAsia="zh-CN"/>
              </w:rPr>
              <w:t>元</w:t>
            </w:r>
            <w:r>
              <w:rPr>
                <w:rFonts w:hint="default" w:ascii="Times New Roman" w:hAnsi="Times New Roman" w:cs="Times New Roman" w:eastAsiaTheme="minorEastAsia"/>
                <w:sz w:val="24"/>
                <w:szCs w:val="24"/>
                <w:lang w:val="en-US" w:eastAsia="zh-CN"/>
              </w:rPr>
              <w:t>整</w:t>
            </w:r>
            <w:r>
              <w:rPr>
                <w:rFonts w:hint="default" w:ascii="Times New Roman" w:hAnsi="Times New Roman" w:cs="Times New Roman" w:eastAsiaTheme="minorEastAsia"/>
                <w:sz w:val="24"/>
                <w:szCs w:val="24"/>
              </w:rPr>
              <w:t>，￥：元</w:t>
            </w:r>
          </w:p>
        </w:tc>
      </w:tr>
    </w:tbl>
    <w:p w14:paraId="0D6BD92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sz w:val="24"/>
          <w:lang w:val="en-US" w:eastAsia="zh-CN"/>
        </w:rPr>
        <w:t>协议</w:t>
      </w:r>
      <w:r>
        <w:rPr>
          <w:rFonts w:hint="default" w:ascii="Times New Roman" w:hAnsi="Times New Roman" w:cs="Times New Roman"/>
          <w:sz w:val="24"/>
        </w:rPr>
        <w:t>总额包括人工、现场服务、资料审核、报告编制、税费、交通、整改辅导、售后咨询</w:t>
      </w:r>
      <w:r>
        <w:rPr>
          <w:rFonts w:hint="eastAsia" w:ascii="Times New Roman" w:hAnsi="Times New Roman" w:cs="Times New Roman"/>
          <w:sz w:val="24"/>
          <w:lang w:eastAsia="zh-CN"/>
        </w:rPr>
        <w:t>、</w:t>
      </w:r>
      <w:r>
        <w:rPr>
          <w:rFonts w:hint="default" w:ascii="Times New Roman" w:hAnsi="Times New Roman" w:cs="Times New Roman"/>
          <w:sz w:val="24"/>
        </w:rPr>
        <w:t>各项税费及</w:t>
      </w:r>
      <w:r>
        <w:rPr>
          <w:rFonts w:hint="eastAsia" w:ascii="Times New Roman" w:hAnsi="Times New Roman" w:cs="Times New Roman"/>
          <w:sz w:val="24"/>
          <w:lang w:val="en-US" w:eastAsia="zh-CN"/>
        </w:rPr>
        <w:t>协议</w:t>
      </w:r>
      <w:r>
        <w:rPr>
          <w:rFonts w:hint="default" w:ascii="Times New Roman" w:hAnsi="Times New Roman" w:cs="Times New Roman"/>
          <w:sz w:val="24"/>
        </w:rPr>
        <w:t>实施过程中不可预见费用等。</w:t>
      </w:r>
    </w:p>
    <w:p w14:paraId="242F9D4B">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二、</w:t>
      </w:r>
      <w:r>
        <w:rPr>
          <w:rFonts w:hint="eastAsia" w:ascii="Times New Roman" w:hAnsi="Times New Roman" w:cs="Times New Roman"/>
          <w:b/>
          <w:sz w:val="24"/>
          <w:lang w:val="en-US" w:eastAsia="zh-CN"/>
        </w:rPr>
        <w:t>项目</w:t>
      </w:r>
      <w:r>
        <w:rPr>
          <w:rFonts w:hint="default" w:ascii="Times New Roman" w:hAnsi="Times New Roman" w:cs="Times New Roman"/>
          <w:b/>
          <w:sz w:val="24"/>
        </w:rPr>
        <w:t>金额</w:t>
      </w:r>
    </w:p>
    <w:p w14:paraId="06C242C2">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sz w:val="24"/>
          <w:lang w:val="en-US" w:eastAsia="zh-CN"/>
        </w:rPr>
        <w:t>项目</w:t>
      </w:r>
      <w:r>
        <w:rPr>
          <w:rFonts w:hint="default" w:ascii="Times New Roman" w:hAnsi="Times New Roman" w:cs="Times New Roman"/>
          <w:sz w:val="24"/>
        </w:rPr>
        <w:t>金额为：人民币（大写）</w:t>
      </w:r>
      <w:r>
        <w:rPr>
          <w:rFonts w:hint="eastAsia" w:ascii="Times New Roman" w:hAnsi="Times New Roman" w:cs="Times New Roman"/>
          <w:sz w:val="24"/>
          <w:lang w:val="en-US" w:eastAsia="zh-CN"/>
        </w:rPr>
        <w:t>XX</w:t>
      </w:r>
      <w:r>
        <w:rPr>
          <w:rFonts w:hint="default" w:ascii="Times New Roman" w:hAnsi="Times New Roman" w:cs="Times New Roman"/>
          <w:sz w:val="24"/>
        </w:rPr>
        <w:t>元整（￥.00元）</w:t>
      </w:r>
    </w:p>
    <w:p w14:paraId="15F998F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lang w:val="en-US"/>
        </w:rPr>
      </w:pPr>
      <w:r>
        <w:rPr>
          <w:rFonts w:hint="default" w:ascii="Times New Roman" w:hAnsi="Times New Roman" w:cs="Times New Roman"/>
          <w:b/>
          <w:sz w:val="24"/>
        </w:rPr>
        <w:t>三、</w:t>
      </w:r>
      <w:r>
        <w:rPr>
          <w:rFonts w:hint="eastAsia" w:ascii="Times New Roman" w:hAnsi="Times New Roman" w:cs="Times New Roman"/>
          <w:b/>
          <w:sz w:val="24"/>
          <w:lang w:val="en-US" w:eastAsia="zh-CN"/>
        </w:rPr>
        <w:t>服务内容及要求</w:t>
      </w:r>
    </w:p>
    <w:p w14:paraId="039FEAAC">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1.风险评价报告范围</w:t>
      </w:r>
    </w:p>
    <w:p w14:paraId="07F79580">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（1）单位层面：覆盖内部控制工作组织情况、内部控制机制建设情况、内部管理制度完善情况、内部控制关键岗位管理情况、财务信息的编报情况等。</w:t>
      </w:r>
    </w:p>
    <w:p w14:paraId="3691D3E2">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（2）业务层面：覆盖预算业务、收支业务、政府采购业务、资产管理、合同管理、医疗管理及科研管理等。</w:t>
      </w:r>
    </w:p>
    <w:p w14:paraId="519C6EC4">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w:t>
      </w:r>
      <w:r>
        <w:rPr>
          <w:rFonts w:hint="default" w:ascii="Times New Roman" w:hAnsi="Times New Roman" w:cs="Times New Roman"/>
          <w:sz w:val="24"/>
          <w:lang w:val="en-US" w:eastAsia="zh-CN"/>
        </w:rPr>
        <w:t>具体工作要求</w:t>
      </w:r>
    </w:p>
    <w:p w14:paraId="27B8EE6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w:t>
      </w:r>
      <w:r>
        <w:rPr>
          <w:rFonts w:hint="default" w:ascii="Times New Roman" w:hAnsi="Times New Roman" w:cs="Times New Roman"/>
          <w:sz w:val="24"/>
          <w:lang w:val="en-US" w:eastAsia="zh-CN"/>
        </w:rPr>
        <w:t>结合公立医院内控管理相关规定，对照甲方现有内控制度及实际执行流程，逐一排查单位层面与业务层面存在的内部控制设计缺陷、执行缺陷，识别各类风险点，明确风险等级。</w:t>
      </w:r>
    </w:p>
    <w:p w14:paraId="1FD56377">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w:t>
      </w:r>
      <w:r>
        <w:rPr>
          <w:rFonts w:hint="default" w:ascii="Times New Roman" w:hAnsi="Times New Roman" w:cs="Times New Roman"/>
          <w:sz w:val="24"/>
          <w:lang w:val="en-US" w:eastAsia="zh-CN"/>
        </w:rPr>
        <w:t>针对排查发现的内控漏洞与风险隐患，结合甲方荣军优抚服务的公益属性和运营管理实际，提出可落地、可执行的优化整改建议，帮助甲方完善内部控制体系，提升风险防控能力。</w:t>
      </w:r>
    </w:p>
    <w:p w14:paraId="7C885F8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（3）</w:t>
      </w:r>
      <w:r>
        <w:rPr>
          <w:rFonts w:hint="default" w:ascii="Times New Roman" w:hAnsi="Times New Roman" w:cs="Times New Roman"/>
          <w:sz w:val="24"/>
          <w:lang w:val="en-US" w:eastAsia="zh-CN"/>
        </w:rPr>
        <w:t>整个评估过程须严格遵守执业规范，对核查中获取的所有甲方内部信息承担保密责任，未经授权不得向任何第三方泄露。</w:t>
      </w:r>
    </w:p>
    <w:p w14:paraId="260654DD">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6.服务团队要求：驻场服务团队人员</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人，项目负责人（核心人员）</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人，注册会计师（核心人员）</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人，项目执行过程中，不接受核心人员的更换。</w:t>
      </w:r>
    </w:p>
    <w:p w14:paraId="7F895A8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7.交付成果：《广东省第一荣军优抚医院2025年度内部控制风险评估报告》</w:t>
      </w:r>
    </w:p>
    <w:p w14:paraId="79D73A8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b/>
          <w:sz w:val="24"/>
        </w:rPr>
        <w:t>四、</w:t>
      </w:r>
      <w:r>
        <w:rPr>
          <w:rFonts w:hint="eastAsia" w:ascii="Times New Roman" w:hAnsi="Times New Roman" w:cs="Times New Roman"/>
          <w:b/>
          <w:sz w:val="24"/>
          <w:lang w:val="en-US" w:eastAsia="zh-CN"/>
        </w:rPr>
        <w:t>服务时间及服务地点</w:t>
      </w:r>
    </w:p>
    <w:p w14:paraId="2DFD620B">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w:t>
      </w:r>
      <w:r>
        <w:rPr>
          <w:rFonts w:hint="eastAsia" w:ascii="Times New Roman" w:hAnsi="Times New Roman" w:cs="Times New Roman"/>
          <w:sz w:val="24"/>
          <w:lang w:val="en-US" w:eastAsia="zh-CN"/>
        </w:rPr>
        <w:t>服务时间</w:t>
      </w:r>
      <w:r>
        <w:rPr>
          <w:rFonts w:hint="default" w:ascii="Times New Roman" w:hAnsi="Times New Roman" w:cs="Times New Roman"/>
          <w:sz w:val="24"/>
        </w:rPr>
        <w:t>：</w:t>
      </w:r>
      <w:r>
        <w:rPr>
          <w:rFonts w:hint="eastAsia" w:ascii="Times New Roman" w:hAnsi="Times New Roman" w:cs="Times New Roman"/>
          <w:sz w:val="24"/>
          <w:lang w:val="en-US" w:eastAsia="zh-CN"/>
        </w:rPr>
        <w:t>协议</w:t>
      </w:r>
      <w:r>
        <w:rPr>
          <w:rFonts w:hint="default" w:ascii="Times New Roman" w:hAnsi="Times New Roman" w:cs="Times New Roman"/>
          <w:sz w:val="24"/>
        </w:rPr>
        <w:t>签订生效之日起</w:t>
      </w:r>
      <w:r>
        <w:rPr>
          <w:rFonts w:hint="eastAsia" w:ascii="Times New Roman" w:hAnsi="Times New Roman" w:cs="Times New Roman"/>
          <w:sz w:val="24"/>
          <w:u w:val="single"/>
          <w:lang w:val="en-US" w:eastAsia="zh-CN"/>
        </w:rPr>
        <w:t>60</w:t>
      </w:r>
      <w:r>
        <w:rPr>
          <w:rFonts w:hint="eastAsia" w:ascii="Times New Roman" w:hAnsi="Times New Roman" w:cs="Times New Roman"/>
          <w:sz w:val="24"/>
          <w:highlight w:val="none"/>
          <w:u w:val="none"/>
          <w:lang w:val="en-US" w:eastAsia="zh-CN"/>
        </w:rPr>
        <w:t>个工作</w:t>
      </w:r>
      <w:r>
        <w:rPr>
          <w:rFonts w:hint="default" w:ascii="Times New Roman" w:hAnsi="Times New Roman" w:cs="Times New Roman"/>
          <w:sz w:val="24"/>
        </w:rPr>
        <w:t>日内完成</w:t>
      </w:r>
      <w:r>
        <w:rPr>
          <w:rFonts w:hint="eastAsia" w:ascii="Times New Roman" w:hAnsi="Times New Roman" w:cs="Times New Roman"/>
          <w:sz w:val="24"/>
          <w:lang w:val="en-US" w:eastAsia="zh-CN"/>
        </w:rPr>
        <w:t>全部评估工作并出具正式报告</w:t>
      </w:r>
      <w:r>
        <w:rPr>
          <w:rFonts w:hint="default" w:ascii="Times New Roman" w:hAnsi="Times New Roman" w:cs="Times New Roman"/>
          <w:sz w:val="24"/>
        </w:rPr>
        <w:t>。</w:t>
      </w:r>
    </w:p>
    <w:p w14:paraId="0B2B6F1C">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w:t>
      </w:r>
      <w:r>
        <w:rPr>
          <w:rFonts w:hint="eastAsia" w:ascii="Times New Roman" w:hAnsi="Times New Roman" w:cs="Times New Roman"/>
          <w:sz w:val="24"/>
          <w:lang w:val="en-US" w:eastAsia="zh-CN"/>
        </w:rPr>
        <w:t>服务地点：广州市海珠区新港西路114号</w:t>
      </w:r>
      <w:r>
        <w:rPr>
          <w:rFonts w:hint="default" w:ascii="Times New Roman" w:hAnsi="Times New Roman" w:cs="Times New Roman"/>
          <w:sz w:val="24"/>
        </w:rPr>
        <w:t>。</w:t>
      </w:r>
    </w:p>
    <w:p w14:paraId="3896B49B">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五、付款方式</w:t>
      </w:r>
    </w:p>
    <w:p w14:paraId="0343AB2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甲方验收通过后，收到乙方正式发票后30个工作日内通过银行转账向乙方支付100%项目款项。</w:t>
      </w:r>
    </w:p>
    <w:p w14:paraId="33310457">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sz w:val="24"/>
          <w:lang w:val="en-US" w:eastAsia="zh-CN"/>
        </w:rPr>
        <w:t>2</w:t>
      </w:r>
      <w:r>
        <w:rPr>
          <w:rFonts w:hint="default" w:ascii="Times New Roman" w:hAnsi="Times New Roman" w:cs="Times New Roman"/>
          <w:sz w:val="24"/>
        </w:rPr>
        <w:t>.</w:t>
      </w:r>
      <w:r>
        <w:rPr>
          <w:rFonts w:hint="eastAsia" w:ascii="Times New Roman" w:hAnsi="Times New Roman" w:cs="Times New Roman"/>
          <w:sz w:val="24"/>
          <w:lang w:val="en-US" w:eastAsia="zh-CN"/>
        </w:rPr>
        <w:t>款项</w:t>
      </w:r>
      <w:r>
        <w:rPr>
          <w:rFonts w:hint="default" w:ascii="Times New Roman" w:hAnsi="Times New Roman" w:cs="Times New Roman"/>
          <w:sz w:val="24"/>
        </w:rPr>
        <w:t>结算前，乙方需提供符合国家有关财税规定的等额发票。</w:t>
      </w:r>
      <w:r>
        <w:rPr>
          <w:rFonts w:hint="eastAsia" w:ascii="Times New Roman" w:hAnsi="Times New Roman" w:cs="Times New Roman"/>
          <w:sz w:val="24"/>
          <w:lang w:val="en-US" w:eastAsia="zh-CN"/>
        </w:rPr>
        <w:t>总额</w:t>
      </w:r>
      <w:r>
        <w:rPr>
          <w:rFonts w:hint="default" w:ascii="Times New Roman" w:hAnsi="Times New Roman" w:cs="Times New Roman"/>
          <w:sz w:val="24"/>
        </w:rPr>
        <w:t>包含项目实施过程的所有含税费用、首次计量或校准费用。</w:t>
      </w:r>
    </w:p>
    <w:p w14:paraId="11D37863">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b/>
          <w:sz w:val="24"/>
          <w:lang w:val="en-US" w:eastAsia="zh-CN"/>
        </w:rPr>
        <w:t>六</w:t>
      </w:r>
      <w:r>
        <w:rPr>
          <w:rFonts w:hint="default" w:ascii="Times New Roman" w:hAnsi="Times New Roman" w:cs="Times New Roman"/>
          <w:b/>
          <w:sz w:val="24"/>
        </w:rPr>
        <w:t>、验收</w:t>
      </w:r>
    </w:p>
    <w:p w14:paraId="4B784BD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乙方在提交齐全的服务过程文件后的15个工作日内，甲方应组织验收，服务验收合格的，甲方向乙方签发《验收报告》；不合格的，甲方及时向乙方提出异议和投诉；若由于甲方原因在收到乙方提交的服务过程文件后的15个工作日内未组织验收则视为自动验收通过。验收标准由甲乙双方根据相关标准进行友好协商确定。</w:t>
      </w:r>
    </w:p>
    <w:p w14:paraId="75AD99D6">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b/>
          <w:bCs/>
          <w:sz w:val="24"/>
          <w:lang w:val="en-US" w:eastAsia="zh-CN"/>
        </w:rPr>
        <w:t>七、甲方权利与义务</w:t>
      </w:r>
    </w:p>
    <w:p w14:paraId="61FDA0BA">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1.甲方有权对乙方的服务工作进行监督和检查。</w:t>
      </w:r>
    </w:p>
    <w:p w14:paraId="45CC218B">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2.甲方应及时向乙方提供开展风险评估工作所需的全部资料，并保证所提供资料的真实性、完整性和合法性。</w:t>
      </w:r>
    </w:p>
    <w:p w14:paraId="151FFE6E">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3.甲方应为乙方驻场服务人员提供必要的工作条件和协助。</w:t>
      </w:r>
    </w:p>
    <w:p w14:paraId="232D6088">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4.甲方应按本协议约定及时足额支付服务费用。</w:t>
      </w:r>
    </w:p>
    <w:p w14:paraId="274F6520">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八、乙方权利与义务</w:t>
      </w:r>
    </w:p>
    <w:p w14:paraId="3A3BC178">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1.乙方应按照本协议约定的服务内容、服务期限和质量标准完成受托工作。</w:t>
      </w:r>
    </w:p>
    <w:p w14:paraId="66636E0B">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2.乙方应保证所出具的报告真实、客观、公正，符合相关规定的要求。</w:t>
      </w:r>
    </w:p>
    <w:p w14:paraId="24F4DFDA">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3.乙方在服务过程中应严格遵守执业规范和职业道德。</w:t>
      </w:r>
    </w:p>
    <w:p w14:paraId="7AD07CC8">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4.乙方应按照甲方要求定期汇报工作进展情况。</w:t>
      </w:r>
    </w:p>
    <w:p w14:paraId="400F2E72">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5.项目执行中形成的各项工作档案、有关数据和资料，均须提交甲方指定部门归档。</w:t>
      </w:r>
    </w:p>
    <w:p w14:paraId="45B82CC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b/>
          <w:sz w:val="24"/>
          <w:lang w:val="en-US" w:eastAsia="zh-CN"/>
        </w:rPr>
        <w:t>九</w:t>
      </w:r>
      <w:r>
        <w:rPr>
          <w:rFonts w:hint="default" w:ascii="Times New Roman" w:hAnsi="Times New Roman" w:cs="Times New Roman"/>
          <w:b/>
          <w:sz w:val="24"/>
        </w:rPr>
        <w:t>、违约责任与赔偿损失</w:t>
      </w:r>
    </w:p>
    <w:p w14:paraId="55C62815">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甲方逾期支付服务费的，每逾期一天，甲方向乙方支付协议总额千分之五的违约金，累计违约金总额不超过协议总额的百分之五。</w:t>
      </w:r>
    </w:p>
    <w:p w14:paraId="5E4FC4A2">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2.乙方所提供的服务不符合协议规定的，甲方有权要求乙方在合理时间内对服务进行改进，规定时间内改进结果无法得到甲方满意时，乙方向甲方支付协议总额百分之五的违约金。</w:t>
      </w:r>
    </w:p>
    <w:p w14:paraId="37E048B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eastAsia" w:ascii="Times New Roman" w:hAnsi="Times New Roman" w:cs="Times New Roman"/>
          <w:sz w:val="24"/>
          <w:lang w:val="en-US" w:eastAsia="zh-CN"/>
        </w:rPr>
        <w:t>3.乙方逾期提供服务的，每逾期一天，乙方向甲方支付逾期提供协议总额千分之五的违约金，累计违约金总额不超过协议总额的百分之五。逾期提供服务超过十天，甲方有权终止协议。</w:t>
      </w:r>
    </w:p>
    <w:p w14:paraId="7958B217">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sz w:val="24"/>
          <w:lang w:val="en-US" w:eastAsia="zh-CN"/>
        </w:rPr>
        <w:t>4</w:t>
      </w:r>
      <w:r>
        <w:rPr>
          <w:rFonts w:hint="default" w:ascii="Times New Roman" w:hAnsi="Times New Roman" w:cs="Times New Roman"/>
          <w:sz w:val="24"/>
        </w:rPr>
        <w:t>.其他违约责任按《中华人民共和国民法典》处理。</w:t>
      </w:r>
    </w:p>
    <w:p w14:paraId="5D6DE3C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b/>
          <w:sz w:val="24"/>
          <w:lang w:val="en-US" w:eastAsia="zh-CN"/>
        </w:rPr>
        <w:t>十</w:t>
      </w:r>
      <w:r>
        <w:rPr>
          <w:rFonts w:hint="default" w:ascii="Times New Roman" w:hAnsi="Times New Roman" w:cs="Times New Roman"/>
          <w:b/>
          <w:sz w:val="24"/>
        </w:rPr>
        <w:t>、争议的解决</w:t>
      </w:r>
    </w:p>
    <w:p w14:paraId="27B5B61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sz w:val="24"/>
          <w:lang w:val="en-US" w:eastAsia="zh-CN"/>
        </w:rPr>
        <w:t>本协议</w:t>
      </w:r>
      <w:r>
        <w:rPr>
          <w:rFonts w:hint="default" w:ascii="Times New Roman" w:hAnsi="Times New Roman" w:cs="Times New Roman"/>
          <w:sz w:val="24"/>
        </w:rPr>
        <w:t>执行过程中发生的任何争议，如双方不能通过友好协商解决，</w:t>
      </w:r>
      <w:r>
        <w:rPr>
          <w:rFonts w:hint="default" w:ascii="Times New Roman" w:hAnsi="Times New Roman" w:cs="Times New Roman"/>
          <w:color w:val="000000"/>
          <w:sz w:val="24"/>
        </w:rPr>
        <w:t>依法向</w:t>
      </w:r>
      <w:r>
        <w:rPr>
          <w:rFonts w:hint="default" w:ascii="Times New Roman" w:hAnsi="Times New Roman" w:cs="Times New Roman"/>
          <w:sz w:val="24"/>
        </w:rPr>
        <w:t>甲方所在地人民法院提起诉讼。</w:t>
      </w:r>
      <w:r>
        <w:rPr>
          <w:rFonts w:hint="default" w:ascii="Times New Roman" w:hAnsi="Times New Roman" w:cs="Times New Roman"/>
          <w:color w:val="000000"/>
          <w:sz w:val="24"/>
        </w:rPr>
        <w:t>因解决争议所产生的诉讼费、律师费、保全费等费用由败诉方承担。</w:t>
      </w:r>
    </w:p>
    <w:p w14:paraId="3CDA0F55">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b/>
          <w:sz w:val="24"/>
          <w:lang w:val="en-US" w:eastAsia="zh-CN"/>
        </w:rPr>
        <w:t>十一</w:t>
      </w:r>
      <w:r>
        <w:rPr>
          <w:rFonts w:hint="default" w:ascii="Times New Roman" w:hAnsi="Times New Roman" w:cs="Times New Roman"/>
          <w:b/>
          <w:sz w:val="24"/>
        </w:rPr>
        <w:t>、不可抗力</w:t>
      </w:r>
    </w:p>
    <w:p w14:paraId="7E14A2EC">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任何一方由于不可抗力原因不能履行</w:t>
      </w:r>
      <w:r>
        <w:rPr>
          <w:rFonts w:hint="eastAsia" w:ascii="Times New Roman" w:hAnsi="Times New Roman" w:cs="Times New Roman"/>
          <w:sz w:val="24"/>
          <w:lang w:val="en-US" w:eastAsia="zh-CN"/>
        </w:rPr>
        <w:t>本协议</w:t>
      </w:r>
      <w:r>
        <w:rPr>
          <w:rFonts w:hint="default" w:ascii="Times New Roman" w:hAnsi="Times New Roman" w:cs="Times New Roman"/>
          <w:sz w:val="24"/>
        </w:rPr>
        <w:t>时，应在不可抗力事件结束后1日内向对方通报，以减轻可能给对方造成的损失，在取得有关机构的不可抗力证明或双方谅解确认后，允许延期履行或修订</w:t>
      </w:r>
      <w:r>
        <w:rPr>
          <w:rFonts w:hint="eastAsia" w:ascii="Times New Roman" w:hAnsi="Times New Roman" w:cs="Times New Roman"/>
          <w:sz w:val="24"/>
          <w:lang w:val="en-US" w:eastAsia="zh-CN"/>
        </w:rPr>
        <w:t>协议</w:t>
      </w:r>
      <w:r>
        <w:rPr>
          <w:rFonts w:hint="default" w:ascii="Times New Roman" w:hAnsi="Times New Roman" w:cs="Times New Roman"/>
          <w:sz w:val="24"/>
        </w:rPr>
        <w:t>，并根据情况可部分或全部免于承担违约责任。</w:t>
      </w:r>
    </w:p>
    <w:p w14:paraId="1EB83F6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w:t>
      </w:r>
      <w:r>
        <w:rPr>
          <w:rFonts w:hint="eastAsia" w:ascii="Times New Roman" w:hAnsi="Times New Roman" w:cs="Times New Roman"/>
          <w:b/>
          <w:sz w:val="24"/>
          <w:lang w:val="en-US" w:eastAsia="zh-CN"/>
        </w:rPr>
        <w:t>二</w:t>
      </w:r>
      <w:r>
        <w:rPr>
          <w:rFonts w:hint="default" w:ascii="Times New Roman" w:hAnsi="Times New Roman" w:cs="Times New Roman"/>
          <w:b/>
          <w:sz w:val="24"/>
        </w:rPr>
        <w:t>、税费</w:t>
      </w:r>
    </w:p>
    <w:p w14:paraId="40CC619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在中国境内、外发生的与本</w:t>
      </w:r>
      <w:r>
        <w:rPr>
          <w:rFonts w:hint="eastAsia" w:ascii="Times New Roman" w:hAnsi="Times New Roman" w:cs="Times New Roman"/>
          <w:sz w:val="24"/>
          <w:lang w:val="en-US" w:eastAsia="zh-CN"/>
        </w:rPr>
        <w:t>协议</w:t>
      </w:r>
      <w:r>
        <w:rPr>
          <w:rFonts w:hint="default" w:ascii="Times New Roman" w:hAnsi="Times New Roman" w:cs="Times New Roman"/>
          <w:sz w:val="24"/>
        </w:rPr>
        <w:t>执行有关的一切税费均由乙方负担。</w:t>
      </w:r>
    </w:p>
    <w:p w14:paraId="5C020544">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w:t>
      </w:r>
      <w:r>
        <w:rPr>
          <w:rFonts w:hint="eastAsia" w:ascii="Times New Roman" w:hAnsi="Times New Roman" w:cs="Times New Roman"/>
          <w:b/>
          <w:sz w:val="24"/>
          <w:lang w:val="en-US" w:eastAsia="zh-CN"/>
        </w:rPr>
        <w:t>三</w:t>
      </w:r>
      <w:r>
        <w:rPr>
          <w:rFonts w:hint="default" w:ascii="Times New Roman" w:hAnsi="Times New Roman" w:cs="Times New Roman"/>
          <w:b/>
          <w:sz w:val="24"/>
        </w:rPr>
        <w:t>、</w:t>
      </w:r>
      <w:r>
        <w:rPr>
          <w:rFonts w:hint="default" w:ascii="Times New Roman" w:hAnsi="Times New Roman" w:cs="Times New Roman"/>
          <w:b/>
          <w:sz w:val="24"/>
          <w:lang w:eastAsia="zh-CN"/>
        </w:rPr>
        <w:t>其他</w:t>
      </w:r>
    </w:p>
    <w:p w14:paraId="5E7B765B">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w:t>
      </w:r>
      <w:r>
        <w:rPr>
          <w:rFonts w:hint="eastAsia" w:ascii="Times New Roman" w:hAnsi="Times New Roman" w:cs="Times New Roman"/>
          <w:sz w:val="24"/>
          <w:lang w:val="en-US" w:eastAsia="zh-CN"/>
        </w:rPr>
        <w:t>协议</w:t>
      </w:r>
      <w:r>
        <w:rPr>
          <w:rFonts w:hint="default" w:ascii="Times New Roman" w:hAnsi="Times New Roman" w:cs="Times New Roman"/>
          <w:sz w:val="24"/>
        </w:rPr>
        <w:t>所有附件、招标文件、投标文件、中标通知书均</w:t>
      </w:r>
      <w:r>
        <w:rPr>
          <w:rFonts w:hint="default" w:ascii="Times New Roman" w:hAnsi="Times New Roman" w:cs="Times New Roman"/>
          <w:sz w:val="24"/>
          <w:lang w:eastAsia="zh-CN"/>
        </w:rPr>
        <w:t>为本</w:t>
      </w:r>
      <w:r>
        <w:rPr>
          <w:rFonts w:hint="eastAsia" w:ascii="Times New Roman" w:hAnsi="Times New Roman" w:cs="Times New Roman"/>
          <w:sz w:val="24"/>
          <w:lang w:val="en-US" w:eastAsia="zh-CN"/>
        </w:rPr>
        <w:t>协议</w:t>
      </w:r>
      <w:r>
        <w:rPr>
          <w:rFonts w:hint="default" w:ascii="Times New Roman" w:hAnsi="Times New Roman" w:cs="Times New Roman"/>
          <w:sz w:val="24"/>
        </w:rPr>
        <w:t>的有效组成部分，与本</w:t>
      </w:r>
      <w:r>
        <w:rPr>
          <w:rFonts w:hint="eastAsia" w:ascii="Times New Roman" w:hAnsi="Times New Roman" w:cs="Times New Roman"/>
          <w:sz w:val="24"/>
          <w:lang w:val="en-US" w:eastAsia="zh-CN"/>
        </w:rPr>
        <w:t>协议</w:t>
      </w:r>
      <w:r>
        <w:rPr>
          <w:rFonts w:hint="default" w:ascii="Times New Roman" w:hAnsi="Times New Roman" w:cs="Times New Roman"/>
          <w:sz w:val="24"/>
        </w:rPr>
        <w:t>具有同等法律效力。</w:t>
      </w:r>
    </w:p>
    <w:p w14:paraId="72EF28F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2.在执行本</w:t>
      </w:r>
      <w:r>
        <w:rPr>
          <w:rFonts w:hint="eastAsia" w:ascii="Times New Roman" w:hAnsi="Times New Roman" w:cs="Times New Roman"/>
          <w:sz w:val="24"/>
          <w:lang w:val="en-US" w:eastAsia="zh-CN"/>
        </w:rPr>
        <w:t>协议</w:t>
      </w:r>
      <w:r>
        <w:rPr>
          <w:rFonts w:hint="default" w:ascii="Times New Roman" w:hAnsi="Times New Roman" w:cs="Times New Roman"/>
          <w:sz w:val="24"/>
        </w:rPr>
        <w:t>的过程中，所有经双方签署确认的文件（包括但不限于会议纪要、补充协议、往来信函）即成为本</w:t>
      </w:r>
      <w:r>
        <w:rPr>
          <w:rFonts w:hint="eastAsia" w:ascii="Times New Roman" w:hAnsi="Times New Roman" w:cs="Times New Roman"/>
          <w:sz w:val="24"/>
          <w:lang w:val="en-US" w:eastAsia="zh-CN"/>
        </w:rPr>
        <w:t>协议</w:t>
      </w:r>
      <w:r>
        <w:rPr>
          <w:rFonts w:hint="default" w:ascii="Times New Roman" w:hAnsi="Times New Roman" w:cs="Times New Roman"/>
          <w:sz w:val="24"/>
        </w:rPr>
        <w:t>的有效组成部分，与本</w:t>
      </w:r>
      <w:r>
        <w:rPr>
          <w:rFonts w:hint="eastAsia" w:ascii="Times New Roman" w:hAnsi="Times New Roman" w:cs="Times New Roman"/>
          <w:sz w:val="24"/>
          <w:lang w:val="en-US" w:eastAsia="zh-CN"/>
        </w:rPr>
        <w:t>协议</w:t>
      </w:r>
      <w:r>
        <w:rPr>
          <w:rFonts w:hint="default" w:ascii="Times New Roman" w:hAnsi="Times New Roman" w:cs="Times New Roman"/>
          <w:sz w:val="24"/>
        </w:rPr>
        <w:t>具有同等法律效力。</w:t>
      </w:r>
    </w:p>
    <w:p w14:paraId="014B702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3.如一方地址、电话、传真号码有变更，应在变更当日内书面通知对方，否则，应承担相应责任。</w:t>
      </w:r>
    </w:p>
    <w:p w14:paraId="508BA181">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4.除甲方事先书面同意外，乙方不得部分或全部转让其应履行的</w:t>
      </w:r>
      <w:r>
        <w:rPr>
          <w:rFonts w:hint="eastAsia" w:ascii="Times New Roman" w:hAnsi="Times New Roman" w:cs="Times New Roman"/>
          <w:sz w:val="24"/>
          <w:lang w:val="en-US" w:eastAsia="zh-CN"/>
        </w:rPr>
        <w:t>协议</w:t>
      </w:r>
      <w:r>
        <w:rPr>
          <w:rFonts w:hint="default" w:ascii="Times New Roman" w:hAnsi="Times New Roman" w:cs="Times New Roman"/>
          <w:sz w:val="24"/>
        </w:rPr>
        <w:t>项下的义务，否则乙方应承担由此给甲方造成的一切损失。</w:t>
      </w:r>
    </w:p>
    <w:p w14:paraId="521CC78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w:t>
      </w:r>
      <w:r>
        <w:rPr>
          <w:rFonts w:hint="eastAsia" w:ascii="Times New Roman" w:hAnsi="Times New Roman" w:cs="Times New Roman"/>
          <w:b/>
          <w:sz w:val="24"/>
          <w:lang w:val="en-US" w:eastAsia="zh-CN"/>
        </w:rPr>
        <w:t>四</w:t>
      </w:r>
      <w:r>
        <w:rPr>
          <w:rFonts w:hint="default" w:ascii="Times New Roman" w:hAnsi="Times New Roman" w:cs="Times New Roman"/>
          <w:b/>
          <w:sz w:val="24"/>
        </w:rPr>
        <w:t>、</w:t>
      </w:r>
      <w:r>
        <w:rPr>
          <w:rFonts w:hint="eastAsia" w:ascii="Times New Roman" w:hAnsi="Times New Roman" w:cs="Times New Roman"/>
          <w:b/>
          <w:sz w:val="24"/>
          <w:lang w:val="en-US" w:eastAsia="zh-CN"/>
        </w:rPr>
        <w:t>协议</w:t>
      </w:r>
      <w:r>
        <w:rPr>
          <w:rFonts w:hint="default" w:ascii="Times New Roman" w:hAnsi="Times New Roman" w:cs="Times New Roman"/>
          <w:b/>
          <w:sz w:val="24"/>
        </w:rPr>
        <w:t>生效</w:t>
      </w:r>
    </w:p>
    <w:p w14:paraId="79699101">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w:t>
      </w:r>
      <w:r>
        <w:rPr>
          <w:rFonts w:hint="eastAsia" w:ascii="Times New Roman" w:hAnsi="Times New Roman" w:cs="Times New Roman"/>
          <w:sz w:val="24"/>
          <w:lang w:val="en-US" w:eastAsia="zh-CN"/>
        </w:rPr>
        <w:t>协议</w:t>
      </w:r>
      <w:r>
        <w:rPr>
          <w:rFonts w:hint="default" w:ascii="Times New Roman" w:hAnsi="Times New Roman" w:cs="Times New Roman"/>
          <w:sz w:val="24"/>
        </w:rPr>
        <w:t>在甲乙双方法定代表人或其授权代表签字盖章后生效。</w:t>
      </w:r>
    </w:p>
    <w:p w14:paraId="3D6C18D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r>
        <w:rPr>
          <w:rFonts w:hint="default" w:ascii="Times New Roman" w:hAnsi="Times New Roman" w:cs="Times New Roman"/>
          <w:sz w:val="24"/>
        </w:rPr>
        <w:t>2.</w:t>
      </w:r>
      <w:r>
        <w:rPr>
          <w:rFonts w:hint="eastAsia" w:ascii="Times New Roman" w:hAnsi="Times New Roman" w:cs="Times New Roman"/>
          <w:sz w:val="24"/>
          <w:lang w:val="en-US" w:eastAsia="zh-CN"/>
        </w:rPr>
        <w:t>本协议</w:t>
      </w:r>
      <w:r>
        <w:rPr>
          <w:rFonts w:hint="default" w:ascii="Times New Roman" w:hAnsi="Times New Roman" w:cs="Times New Roman"/>
          <w:sz w:val="24"/>
        </w:rPr>
        <w:t>一式6份，甲方执5份，乙方执1份</w:t>
      </w:r>
      <w:r>
        <w:rPr>
          <w:rFonts w:hint="default" w:ascii="Times New Roman" w:hAnsi="Times New Roman" w:cs="Times New Roman"/>
          <w:color w:val="000000"/>
          <w:sz w:val="24"/>
        </w:rPr>
        <w:t>，具有同等法律效力。</w:t>
      </w:r>
    </w:p>
    <w:p w14:paraId="3718C1D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（以下无正文）</w:t>
      </w:r>
    </w:p>
    <w:p w14:paraId="61BA8A91">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7633C4FD">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eastAsia" w:ascii="Times New Roman" w:hAnsi="Times New Roman" w:cs="Times New Roman"/>
          <w:b/>
          <w:sz w:val="24"/>
          <w:lang w:val="en-US" w:eastAsia="zh-CN"/>
        </w:rPr>
        <w:t>签约</w:t>
      </w:r>
      <w:r>
        <w:rPr>
          <w:rFonts w:hint="default" w:ascii="Times New Roman" w:hAnsi="Times New Roman" w:cs="Times New Roman"/>
          <w:b/>
          <w:sz w:val="24"/>
        </w:rPr>
        <w:t xml:space="preserve">代表：                            </w:t>
      </w:r>
      <w:r>
        <w:rPr>
          <w:rFonts w:hint="eastAsia" w:ascii="Times New Roman" w:hAnsi="Times New Roman" w:cs="Times New Roman"/>
          <w:b/>
          <w:sz w:val="24"/>
          <w:lang w:val="en-US" w:eastAsia="zh-CN"/>
        </w:rPr>
        <w:t>签约</w:t>
      </w:r>
      <w:r>
        <w:rPr>
          <w:rFonts w:hint="default" w:ascii="Times New Roman" w:hAnsi="Times New Roman" w:cs="Times New Roman"/>
          <w:b/>
          <w:sz w:val="24"/>
        </w:rPr>
        <w:t>代表：</w:t>
      </w:r>
    </w:p>
    <w:p w14:paraId="1B425B35">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3E5FE6D4">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 xml:space="preserve">签订日期：　　　年　　月　　日    </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签订日期：　　　年　　月　　日</w:t>
      </w:r>
    </w:p>
    <w:p w14:paraId="5A0A6C18">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5CF96EBE">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2A0F2835">
      <w:pPr>
        <w:pStyle w:val="7"/>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56C1801E">
      <w:pPr>
        <w:pStyle w:val="7"/>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sz w:val="32"/>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5E64E612">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14:paraId="3E00FB6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广东省第一荣军</w:t>
      </w:r>
      <w:r>
        <w:rPr>
          <w:rFonts w:hint="default" w:ascii="Times New Roman" w:hAnsi="Times New Roman" w:eastAsia="方正小标宋简体" w:cs="Times New Roman"/>
          <w:sz w:val="32"/>
          <w:szCs w:val="32"/>
          <w:lang w:eastAsia="zh-CN"/>
        </w:rPr>
        <w:t>优抚</w:t>
      </w:r>
      <w:r>
        <w:rPr>
          <w:rFonts w:hint="default" w:ascii="Times New Roman" w:hAnsi="Times New Roman" w:eastAsia="方正小标宋简体" w:cs="Times New Roman"/>
          <w:sz w:val="32"/>
          <w:szCs w:val="32"/>
        </w:rPr>
        <w:t>医院廉洁承诺书</w:t>
      </w:r>
    </w:p>
    <w:p w14:paraId="47009F9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28A966D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甲方：广东省第一荣军</w:t>
      </w:r>
      <w:r>
        <w:rPr>
          <w:rFonts w:hint="default" w:ascii="Times New Roman" w:hAnsi="Times New Roman" w:cs="Times New Roman" w:eastAsiaTheme="minorEastAsia"/>
          <w:szCs w:val="21"/>
          <w:lang w:eastAsia="zh-CN"/>
        </w:rPr>
        <w:t>优抚</w:t>
      </w:r>
      <w:r>
        <w:rPr>
          <w:rFonts w:hint="default" w:ascii="Times New Roman" w:hAnsi="Times New Roman" w:cs="Times New Roman" w:eastAsiaTheme="minorEastAsia"/>
          <w:szCs w:val="21"/>
        </w:rPr>
        <w:t>医院</w:t>
      </w:r>
    </w:p>
    <w:p w14:paraId="5B5844E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乙方：</w:t>
      </w:r>
      <w:r>
        <w:rPr>
          <w:rFonts w:hint="default" w:ascii="Times New Roman" w:hAnsi="Times New Roman" w:cs="Times New Roman" w:eastAsiaTheme="minorEastAsia"/>
          <w:szCs w:val="21"/>
          <w:lang w:val="en-US" w:eastAsia="zh-CN"/>
        </w:rPr>
        <w:t>XX</w:t>
      </w:r>
      <w:r>
        <w:rPr>
          <w:rFonts w:hint="default" w:ascii="Times New Roman" w:hAnsi="Times New Roman" w:cs="Times New Roman" w:eastAsiaTheme="minorEastAsia"/>
          <w:szCs w:val="21"/>
        </w:rPr>
        <w:t>公司</w:t>
      </w:r>
    </w:p>
    <w:p w14:paraId="6E6657B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04BEC959">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w:t>
      </w:r>
    </w:p>
    <w:p w14:paraId="142F4DC5">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一、本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所指采购工作是指以总务科牵头组织的物资采购、基建工程（含工程预算编制、工程招投标、工程监理、工程审核等）、设备维修（维保）、车辆维修保养等。</w:t>
      </w:r>
    </w:p>
    <w:p w14:paraId="168F492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二、甲、乙双方严格遵守党纪国法和各项政策规定，将廉政建设和从业规定的各项要求贯彻始终，廉洁自律、加强监督，确保将物资采购、基建工程项目等建设成为廉洁工程。</w:t>
      </w:r>
    </w:p>
    <w:p w14:paraId="2C837F95">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三、甲方工作人员不得参加涉及可能影响公正公平的宴请和商务活动。</w:t>
      </w:r>
    </w:p>
    <w:p w14:paraId="03044453">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四、甲方工作人员不得索要或收受乙方及其工作人员的红包、有价证券、贵重礼品等，不得索要或收受各种名义的回扣、手续费等好处费。</w:t>
      </w:r>
    </w:p>
    <w:p w14:paraId="6D6C0955">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五、乙方及其工作人员不得以任何形式向甲方工作人员（含家属或亲友）行贿，乙方不得以各种借口邀请甲方工作人员参加可能影响今后工作的宴请、外出游玩和各种娱乐活动。</w:t>
      </w:r>
    </w:p>
    <w:p w14:paraId="67B752B3">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六、经查实无论是因甲方原因，或者乙方原因违反本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的，甲方有权终止购销合同，乙方因甲方解除合同产生的损失由乙方自行承担，甲方因此遭受损失由乙方赔偿，并向有关政府部门报告及视情况按相关情况处理。</w:t>
      </w:r>
    </w:p>
    <w:p w14:paraId="2B9D4250">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七、本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作为物资采购、基建工程项目采购合同的重要组成部分，与正式签订的物资采购、基建工程项目实施合同一并执行且具有同等法律效力。</w:t>
      </w:r>
    </w:p>
    <w:p w14:paraId="4390FB5A">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八、本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一式</w:t>
      </w:r>
      <w:r>
        <w:rPr>
          <w:rFonts w:hint="default" w:ascii="Times New Roman" w:hAnsi="Times New Roman" w:cs="Times New Roman" w:eastAsiaTheme="minorEastAsia"/>
          <w:szCs w:val="21"/>
          <w:lang w:val="en-US" w:eastAsia="zh-CN"/>
        </w:rPr>
        <w:t>6</w:t>
      </w:r>
      <w:r>
        <w:rPr>
          <w:rFonts w:hint="default" w:ascii="Times New Roman" w:hAnsi="Times New Roman" w:cs="Times New Roman" w:eastAsiaTheme="minorEastAsia"/>
          <w:szCs w:val="21"/>
        </w:rPr>
        <w:t>份，甲方执</w:t>
      </w:r>
      <w:r>
        <w:rPr>
          <w:rFonts w:hint="default"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rPr>
        <w:t>份，</w:t>
      </w:r>
      <w:r>
        <w:rPr>
          <w:rFonts w:hint="default" w:ascii="Times New Roman" w:hAnsi="Times New Roman" w:cs="Times New Roman" w:eastAsiaTheme="minorEastAsia"/>
          <w:szCs w:val="21"/>
          <w:lang w:val="en-US" w:eastAsia="zh-CN"/>
        </w:rPr>
        <w:t>乙方执1</w:t>
      </w:r>
      <w:r>
        <w:rPr>
          <w:rFonts w:hint="default" w:ascii="Times New Roman" w:hAnsi="Times New Roman" w:cs="Times New Roman" w:eastAsiaTheme="minorEastAsia"/>
          <w:szCs w:val="21"/>
        </w:rPr>
        <w:t>份。</w:t>
      </w:r>
    </w:p>
    <w:p w14:paraId="72850CDD">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九、本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自签订之日起生效。</w:t>
      </w:r>
    </w:p>
    <w:p w14:paraId="66791F3A">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p>
    <w:p w14:paraId="364C43A8">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甲方（盖章）：                         乙方（盖章）：</w:t>
      </w:r>
    </w:p>
    <w:p w14:paraId="4244BADB">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p>
    <w:p w14:paraId="58D12F19">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负责人：</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负责人：</w:t>
      </w:r>
    </w:p>
    <w:p w14:paraId="6FED6347">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w:t>
      </w:r>
    </w:p>
    <w:p w14:paraId="708E7727">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经办人：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经办人：</w:t>
      </w:r>
    </w:p>
    <w:p w14:paraId="776EA9B1">
      <w:pPr>
        <w:keepNext w:val="0"/>
        <w:keepLines w:val="0"/>
        <w:pageBreakBefore w:val="0"/>
        <w:widowControl w:val="0"/>
        <w:kinsoku/>
        <w:wordWrap/>
        <w:overflowPunct/>
        <w:topLinePunct w:val="0"/>
        <w:autoSpaceDE/>
        <w:autoSpaceDN/>
        <w:bidi w:val="0"/>
        <w:adjustRightInd w:val="0"/>
        <w:snapToGrid w:val="0"/>
        <w:spacing w:line="400" w:lineRule="exact"/>
        <w:ind w:firstLine="1785" w:firstLineChars="850"/>
        <w:textAlignment w:val="auto"/>
        <w:rPr>
          <w:rFonts w:hint="default" w:ascii="Times New Roman" w:hAnsi="Times New Roman" w:cs="Times New Roman"/>
        </w:rPr>
      </w:pPr>
      <w:r>
        <w:rPr>
          <w:rFonts w:hint="default" w:ascii="Times New Roman" w:hAnsi="Times New Roman" w:cs="Times New Roman" w:eastAsiaTheme="minorEastAsia"/>
          <w:szCs w:val="21"/>
        </w:rPr>
        <w:t xml:space="preserve">  年   月   日                         年   月   日</w:t>
      </w:r>
    </w:p>
    <w:p w14:paraId="42D26F9F">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64E94"/>
    <w:rsid w:val="29210862"/>
    <w:rsid w:val="6E864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basedOn w:val="2"/>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2026-07-08T02:05:00Z</dcterms:created>
  <dc:creator>卑微小虎崽</dc:creator>
  <cp:lastModifiedBy>卑微小虎崽</cp:lastModifiedBy>
  <dcterms:modified xsi:type="dcterms:W3CDTF">2026-07-08T02:06:16Z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4C530DBD5F78407FBE6BF91BB6E84D41_13</vt:lpwstr>
  </property>
  <property fmtid="{D5CDD505-2E9C-101B-9397-08002B2CF9AE}" pid="4" name="KSOTemplateDocerSaveRecord">
    <vt:lpwstr>eyJoZGlkIjoiMTBiZDkyZDdiNjQ3ODk4YzI4M2RmZDNmYTRiZGJiNjkiLCJ1c2VySWQiOiIxMzQ0MTYwMDk1In0=</vt:lpwstr>
  </property>
</Properties>
</file>