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692E4">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bookmarkStart w:id="0" w:name="_GoBack"/>
      <w:r>
        <w:rPr>
          <w:rFonts w:hint="default" w:ascii="Times New Roman" w:hAnsi="Times New Roman" w:eastAsia="仿宋_GB2312" w:cs="Times New Roman"/>
          <w:color w:val="000000"/>
          <w:sz w:val="32"/>
          <w:szCs w:val="32"/>
          <w:highlight w:val="none"/>
          <w:shd w:val="clear" w:color="auto" w:fill="FFFFFF"/>
          <w:lang w:val="en-US" w:eastAsia="zh-CN"/>
        </w:rPr>
        <w:t>附件2：</w:t>
      </w:r>
    </w:p>
    <w:p w14:paraId="0EC6B8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Cs w:val="24"/>
          <w:highlight w:val="none"/>
        </w:rPr>
      </w:pPr>
      <w:r>
        <w:rPr>
          <w:rFonts w:hint="eastAsia" w:ascii="宋体" w:hAnsi="宋体" w:eastAsia="宋体" w:cs="宋体"/>
          <w:b/>
          <w:sz w:val="44"/>
          <w:szCs w:val="24"/>
          <w:highlight w:val="none"/>
        </w:rPr>
        <w:t>合　同　书</w:t>
      </w:r>
    </w:p>
    <w:p w14:paraId="752014DC">
      <w:pPr>
        <w:pStyle w:val="14"/>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eastAsia" w:ascii="宋体" w:hAnsi="宋体" w:eastAsia="宋体" w:cs="宋体"/>
          <w:color w:val="222222"/>
          <w:sz w:val="28"/>
          <w:highlight w:val="none"/>
          <w:lang w:val="en-US" w:eastAsia="zh-CN"/>
        </w:rPr>
      </w:pPr>
      <w:r>
        <w:rPr>
          <w:rFonts w:hint="eastAsia" w:ascii="宋体" w:hAnsi="宋体" w:eastAsia="宋体" w:cs="宋体"/>
          <w:color w:val="222222"/>
          <w:sz w:val="28"/>
          <w:highlight w:val="none"/>
        </w:rPr>
        <w:t>项目名称：</w:t>
      </w:r>
      <w:r>
        <w:rPr>
          <w:rFonts w:hint="eastAsia" w:ascii="宋体" w:hAnsi="宋体" w:eastAsia="宋体" w:cs="宋体"/>
          <w:color w:val="222222"/>
          <w:sz w:val="28"/>
          <w:highlight w:val="none"/>
          <w:lang w:val="en-US" w:eastAsia="zh-CN"/>
        </w:rPr>
        <w:t>广东省第一荣军优抚医院医用氧合同到期后至公开招标中标前过渡期采购项目</w:t>
      </w:r>
    </w:p>
    <w:p w14:paraId="26C2282F">
      <w:pPr>
        <w:pStyle w:val="14"/>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4"/>
          <w:highlight w:val="none"/>
        </w:rPr>
      </w:pPr>
    </w:p>
    <w:p w14:paraId="0D803A1D">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甲　　方：</w:t>
      </w:r>
      <w:r>
        <w:rPr>
          <w:rFonts w:hint="eastAsia" w:ascii="宋体" w:hAnsi="宋体" w:eastAsia="宋体" w:cs="宋体"/>
          <w:b/>
          <w:sz w:val="24"/>
          <w:szCs w:val="24"/>
          <w:highlight w:val="none"/>
          <w:lang w:eastAsia="zh-CN"/>
        </w:rPr>
        <w:t>广东省第一荣军优抚医院</w:t>
      </w:r>
    </w:p>
    <w:p w14:paraId="4CB3C92A">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020-84187600-2609</w:t>
      </w:r>
    </w:p>
    <w:p w14:paraId="48E28636">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广州市海珠区新港西路</w:t>
      </w:r>
      <w:r>
        <w:rPr>
          <w:rFonts w:hint="eastAsia" w:ascii="宋体" w:hAnsi="宋体" w:eastAsia="宋体" w:cs="宋体"/>
          <w:sz w:val="24"/>
          <w:szCs w:val="24"/>
          <w:highlight w:val="none"/>
          <w:lang w:val="en-US" w:eastAsia="zh-CN"/>
        </w:rPr>
        <w:t>114号</w:t>
      </w:r>
    </w:p>
    <w:p w14:paraId="53DAF1BC">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highlight w:val="none"/>
        </w:rPr>
      </w:pPr>
    </w:p>
    <w:p w14:paraId="1413C349">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乙　　方：</w:t>
      </w:r>
      <w:r>
        <w:rPr>
          <w:rFonts w:hint="eastAsia" w:ascii="宋体" w:hAnsi="宋体" w:eastAsia="宋体" w:cs="宋体"/>
          <w:b/>
          <w:sz w:val="24"/>
          <w:szCs w:val="24"/>
          <w:highlight w:val="none"/>
          <w:u w:val="single"/>
          <w:lang w:val="en-US" w:eastAsia="zh-CN"/>
        </w:rPr>
        <w:t>XX公司</w:t>
      </w:r>
    </w:p>
    <w:p w14:paraId="5956CDCE">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78AF2B00">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p>
    <w:p w14:paraId="7BA5EB92">
      <w:pPr>
        <w:pStyle w:val="14"/>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p>
    <w:p w14:paraId="69B7542D">
      <w:pPr>
        <w:pStyle w:val="8"/>
        <w:spacing w:after="0"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u w:val="single"/>
        </w:rPr>
        <w:t>《中华人民共和国民法典》</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u w:val="single"/>
          <w:lang w:eastAsia="zh-CN"/>
        </w:rPr>
        <w:t>广东省第一荣军优抚医院医用氧合同到期后至公开招标中标前过渡期采购项目</w:t>
      </w:r>
      <w:r>
        <w:rPr>
          <w:rFonts w:hint="eastAsia" w:ascii="宋体" w:hAnsi="宋体" w:eastAsia="宋体" w:cs="宋体"/>
          <w:color w:val="auto"/>
          <w:sz w:val="24"/>
          <w:szCs w:val="24"/>
          <w:u w:val="none"/>
          <w:lang w:val="en-US" w:eastAsia="zh-CN"/>
        </w:rPr>
        <w:t>相关</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精神</w:t>
      </w:r>
      <w:r>
        <w:rPr>
          <w:rFonts w:hint="eastAsia" w:ascii="宋体" w:hAnsi="宋体" w:eastAsia="宋体" w:cs="宋体"/>
          <w:color w:val="auto"/>
          <w:sz w:val="24"/>
          <w:szCs w:val="24"/>
        </w:rPr>
        <w:t>，在平等互利、协商一致的基础上，甲、乙双方经协商确定，甲方向乙方购买</w:t>
      </w:r>
      <w:r>
        <w:rPr>
          <w:rFonts w:hint="eastAsia" w:ascii="宋体" w:hAnsi="宋体" w:eastAsia="宋体" w:cs="宋体"/>
          <w:b/>
          <w:bCs/>
          <w:color w:val="auto"/>
          <w:sz w:val="24"/>
          <w:szCs w:val="24"/>
          <w:u w:val="single"/>
          <w:lang w:val="en-US" w:eastAsia="zh-CN"/>
        </w:rPr>
        <w:t>医用氧</w:t>
      </w:r>
      <w:r>
        <w:rPr>
          <w:rFonts w:hint="eastAsia" w:ascii="宋体" w:hAnsi="宋体" w:eastAsia="宋体" w:cs="宋体"/>
          <w:color w:val="auto"/>
          <w:sz w:val="24"/>
          <w:szCs w:val="24"/>
        </w:rPr>
        <w:t>及其</w:t>
      </w:r>
      <w:r>
        <w:rPr>
          <w:rFonts w:hint="eastAsia" w:ascii="宋体" w:hAnsi="宋体" w:eastAsia="宋体" w:cs="宋体"/>
          <w:color w:val="auto"/>
          <w:sz w:val="24"/>
          <w:szCs w:val="24"/>
          <w:lang w:eastAsia="zh-CN"/>
        </w:rPr>
        <w:t>配送</w:t>
      </w:r>
      <w:r>
        <w:rPr>
          <w:rFonts w:hint="eastAsia" w:ascii="宋体" w:hAnsi="宋体" w:eastAsia="宋体" w:cs="宋体"/>
          <w:color w:val="auto"/>
          <w:sz w:val="24"/>
          <w:szCs w:val="24"/>
        </w:rPr>
        <w:t>服务，为明确双方责任和权利，特签订本合同，共同遵守。具体条款如下：</w:t>
      </w:r>
    </w:p>
    <w:p w14:paraId="50609B18">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一、合同</w:t>
      </w:r>
      <w:r>
        <w:rPr>
          <w:rFonts w:hint="eastAsia" w:ascii="宋体" w:hAnsi="宋体" w:eastAsia="宋体" w:cs="宋体"/>
          <w:b/>
          <w:color w:val="auto"/>
          <w:sz w:val="24"/>
          <w:szCs w:val="24"/>
          <w:lang w:eastAsia="zh-CN"/>
        </w:rPr>
        <w:t>（医用氧）</w:t>
      </w:r>
    </w:p>
    <w:p w14:paraId="71D87F6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乙方负责向甲方供应下表中所列</w:t>
      </w:r>
      <w:r>
        <w:rPr>
          <w:rFonts w:hint="eastAsia" w:ascii="宋体" w:hAnsi="宋体" w:eastAsia="宋体" w:cs="宋体"/>
          <w:b/>
          <w:bCs/>
          <w:color w:val="auto"/>
          <w:sz w:val="24"/>
          <w:szCs w:val="24"/>
          <w:lang w:eastAsia="zh-CN"/>
        </w:rPr>
        <w:t>医用氧</w:t>
      </w:r>
      <w:r>
        <w:rPr>
          <w:rFonts w:hint="eastAsia" w:ascii="宋体" w:hAnsi="宋体" w:eastAsia="宋体" w:cs="宋体"/>
          <w:color w:val="auto"/>
          <w:sz w:val="24"/>
          <w:szCs w:val="24"/>
        </w:rPr>
        <w:t>及负责</w:t>
      </w:r>
      <w:r>
        <w:rPr>
          <w:rFonts w:hint="eastAsia" w:ascii="宋体" w:hAnsi="宋体" w:eastAsia="宋体" w:cs="宋体"/>
          <w:b/>
          <w:bCs/>
          <w:color w:val="auto"/>
          <w:sz w:val="24"/>
          <w:szCs w:val="24"/>
          <w:lang w:eastAsia="zh-CN"/>
        </w:rPr>
        <w:t>配送服务</w:t>
      </w:r>
      <w:r>
        <w:rPr>
          <w:rFonts w:hint="eastAsia" w:ascii="宋体" w:hAnsi="宋体" w:eastAsia="宋体" w:cs="宋体"/>
          <w:color w:val="auto"/>
          <w:sz w:val="24"/>
          <w:szCs w:val="24"/>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220"/>
        <w:gridCol w:w="1245"/>
        <w:gridCol w:w="705"/>
        <w:gridCol w:w="810"/>
        <w:gridCol w:w="1245"/>
        <w:gridCol w:w="1260"/>
      </w:tblGrid>
      <w:tr w14:paraId="618F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noWrap w:val="0"/>
            <w:vAlign w:val="center"/>
          </w:tcPr>
          <w:p w14:paraId="7E0259FF">
            <w:pPr>
              <w:spacing w:line="360" w:lineRule="auto"/>
              <w:ind w:firstLine="2" w:firstLineChars="1"/>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220" w:type="dxa"/>
            <w:noWrap w:val="0"/>
            <w:vAlign w:val="center"/>
          </w:tcPr>
          <w:p w14:paraId="6FFB89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45" w:type="dxa"/>
            <w:noWrap w:val="0"/>
            <w:vAlign w:val="center"/>
          </w:tcPr>
          <w:p w14:paraId="6AD554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产地厂家</w:t>
            </w:r>
          </w:p>
        </w:tc>
        <w:tc>
          <w:tcPr>
            <w:tcW w:w="705" w:type="dxa"/>
            <w:noWrap w:val="0"/>
            <w:vAlign w:val="center"/>
          </w:tcPr>
          <w:p w14:paraId="028990B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810" w:type="dxa"/>
            <w:noWrap w:val="0"/>
            <w:vAlign w:val="center"/>
          </w:tcPr>
          <w:p w14:paraId="0AB479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45" w:type="dxa"/>
            <w:noWrap w:val="0"/>
            <w:vAlign w:val="center"/>
          </w:tcPr>
          <w:p w14:paraId="3F4A05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260" w:type="dxa"/>
            <w:noWrap w:val="0"/>
            <w:vAlign w:val="center"/>
          </w:tcPr>
          <w:p w14:paraId="34A17CB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总价(元)</w:t>
            </w:r>
          </w:p>
        </w:tc>
      </w:tr>
      <w:tr w14:paraId="1965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1897" w:type="dxa"/>
            <w:noWrap w:val="0"/>
            <w:vAlign w:val="top"/>
          </w:tcPr>
          <w:p w14:paraId="6B6F2CFB">
            <w:pPr>
              <w:pStyle w:val="14"/>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lang w:eastAsia="zh-CN"/>
              </w:rPr>
            </w:pPr>
            <w:r>
              <w:rPr>
                <w:rFonts w:hint="default" w:ascii="Times New Roman" w:hAnsi="Times New Roman" w:eastAsia="宋体" w:cs="Times New Roman"/>
                <w:color w:val="000000"/>
                <w:sz w:val="24"/>
                <w:szCs w:val="24"/>
                <w:highlight w:val="none"/>
              </w:rPr>
              <w:t>医用氧气</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气态</w:t>
            </w:r>
            <w:r>
              <w:rPr>
                <w:rFonts w:hint="default" w:ascii="Times New Roman" w:hAnsi="Times New Roman" w:eastAsia="宋体" w:cs="Times New Roman"/>
                <w:color w:val="000000"/>
                <w:sz w:val="24"/>
                <w:szCs w:val="24"/>
                <w:highlight w:val="none"/>
                <w:lang w:eastAsia="zh-CN"/>
              </w:rPr>
              <w:t>）</w:t>
            </w:r>
          </w:p>
        </w:tc>
        <w:tc>
          <w:tcPr>
            <w:tcW w:w="2220" w:type="dxa"/>
            <w:noWrap w:val="0"/>
            <w:vAlign w:val="center"/>
          </w:tcPr>
          <w:p w14:paraId="31BCFA68">
            <w:pPr>
              <w:pStyle w:val="10"/>
              <w:rPr>
                <w:rFonts w:hint="eastAsia" w:ascii="宋体" w:hAnsi="宋体" w:eastAsia="宋体" w:cs="宋体"/>
                <w:sz w:val="24"/>
                <w:szCs w:val="24"/>
                <w:lang w:val="en-US" w:eastAsia="zh-CN"/>
              </w:rPr>
            </w:pPr>
          </w:p>
        </w:tc>
        <w:tc>
          <w:tcPr>
            <w:tcW w:w="1245" w:type="dxa"/>
            <w:noWrap w:val="0"/>
            <w:vAlign w:val="center"/>
          </w:tcPr>
          <w:p w14:paraId="41E5F50C">
            <w:pPr>
              <w:spacing w:line="360" w:lineRule="auto"/>
              <w:rPr>
                <w:rFonts w:hint="eastAsia" w:ascii="宋体" w:hAnsi="宋体" w:eastAsia="宋体" w:cs="宋体"/>
                <w:color w:val="auto"/>
                <w:sz w:val="24"/>
                <w:szCs w:val="24"/>
                <w:lang w:eastAsia="zh-CN"/>
              </w:rPr>
            </w:pPr>
          </w:p>
        </w:tc>
        <w:tc>
          <w:tcPr>
            <w:tcW w:w="705" w:type="dxa"/>
            <w:noWrap w:val="0"/>
            <w:vAlign w:val="center"/>
          </w:tcPr>
          <w:p w14:paraId="1E96F9DE">
            <w:pPr>
              <w:spacing w:line="360" w:lineRule="auto"/>
              <w:jc w:val="center"/>
              <w:rPr>
                <w:rFonts w:hint="eastAsia" w:ascii="宋体" w:hAnsi="宋体" w:eastAsia="宋体" w:cs="宋体"/>
                <w:color w:val="auto"/>
                <w:sz w:val="24"/>
                <w:szCs w:val="24"/>
                <w:lang w:eastAsia="zh-CN"/>
              </w:rPr>
            </w:pPr>
          </w:p>
        </w:tc>
        <w:tc>
          <w:tcPr>
            <w:tcW w:w="810" w:type="dxa"/>
            <w:noWrap w:val="0"/>
            <w:vAlign w:val="center"/>
          </w:tcPr>
          <w:p w14:paraId="71FD1EA8">
            <w:pPr>
              <w:spacing w:line="360" w:lineRule="auto"/>
              <w:jc w:val="both"/>
              <w:rPr>
                <w:rFonts w:hint="eastAsia" w:ascii="宋体" w:hAnsi="宋体" w:eastAsia="宋体" w:cs="宋体"/>
                <w:color w:val="auto"/>
                <w:sz w:val="24"/>
                <w:szCs w:val="24"/>
                <w:lang w:val="en-US" w:eastAsia="zh-CN"/>
              </w:rPr>
            </w:pPr>
          </w:p>
        </w:tc>
        <w:tc>
          <w:tcPr>
            <w:tcW w:w="1245" w:type="dxa"/>
            <w:noWrap w:val="0"/>
            <w:vAlign w:val="center"/>
          </w:tcPr>
          <w:p w14:paraId="0DAB0B0A">
            <w:pPr>
              <w:spacing w:line="360" w:lineRule="auto"/>
              <w:jc w:val="center"/>
              <w:rPr>
                <w:rFonts w:hint="eastAsia" w:ascii="宋体" w:hAnsi="宋体" w:eastAsia="宋体" w:cs="宋体"/>
                <w:color w:val="auto"/>
                <w:sz w:val="24"/>
                <w:szCs w:val="24"/>
              </w:rPr>
            </w:pPr>
          </w:p>
        </w:tc>
        <w:tc>
          <w:tcPr>
            <w:tcW w:w="1260" w:type="dxa"/>
            <w:noWrap w:val="0"/>
            <w:vAlign w:val="center"/>
          </w:tcPr>
          <w:p w14:paraId="354432FC">
            <w:pPr>
              <w:spacing w:line="360" w:lineRule="auto"/>
              <w:jc w:val="center"/>
              <w:rPr>
                <w:rFonts w:hint="eastAsia" w:ascii="宋体" w:hAnsi="宋体" w:eastAsia="宋体" w:cs="宋体"/>
                <w:color w:val="auto"/>
                <w:sz w:val="24"/>
                <w:szCs w:val="24"/>
              </w:rPr>
            </w:pPr>
          </w:p>
        </w:tc>
      </w:tr>
      <w:tr w14:paraId="3D53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7" w:type="dxa"/>
            <w:noWrap w:val="0"/>
            <w:vAlign w:val="top"/>
          </w:tcPr>
          <w:p w14:paraId="2C28F91E">
            <w:pPr>
              <w:pStyle w:val="14"/>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rPr>
            </w:pPr>
            <w:r>
              <w:rPr>
                <w:rFonts w:hint="default" w:ascii="Times New Roman" w:hAnsi="Times New Roman" w:eastAsia="宋体" w:cs="Times New Roman"/>
                <w:color w:val="000000"/>
                <w:sz w:val="24"/>
                <w:szCs w:val="24"/>
                <w:highlight w:val="none"/>
              </w:rPr>
              <w:t>医用氧气</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气态</w:t>
            </w:r>
            <w:r>
              <w:rPr>
                <w:rFonts w:hint="default" w:ascii="Times New Roman" w:hAnsi="Times New Roman" w:eastAsia="宋体" w:cs="Times New Roman"/>
                <w:color w:val="000000"/>
                <w:sz w:val="24"/>
                <w:szCs w:val="24"/>
                <w:highlight w:val="none"/>
                <w:lang w:eastAsia="zh-CN"/>
              </w:rPr>
              <w:t>）</w:t>
            </w:r>
          </w:p>
        </w:tc>
        <w:tc>
          <w:tcPr>
            <w:tcW w:w="2220" w:type="dxa"/>
            <w:noWrap w:val="0"/>
            <w:vAlign w:val="center"/>
          </w:tcPr>
          <w:p w14:paraId="03AA4476">
            <w:pPr>
              <w:spacing w:line="360" w:lineRule="auto"/>
              <w:jc w:val="center"/>
              <w:rPr>
                <w:rFonts w:hint="eastAsia" w:ascii="宋体" w:hAnsi="宋体" w:eastAsia="宋体" w:cs="宋体"/>
                <w:color w:val="auto"/>
                <w:sz w:val="24"/>
                <w:szCs w:val="24"/>
                <w:lang w:val="en-US" w:eastAsia="zh-CN"/>
              </w:rPr>
            </w:pPr>
          </w:p>
        </w:tc>
        <w:tc>
          <w:tcPr>
            <w:tcW w:w="1245" w:type="dxa"/>
            <w:noWrap w:val="0"/>
            <w:vAlign w:val="center"/>
          </w:tcPr>
          <w:p w14:paraId="33F9ECE2">
            <w:pPr>
              <w:spacing w:line="360" w:lineRule="auto"/>
              <w:rPr>
                <w:rFonts w:hint="eastAsia" w:ascii="宋体" w:hAnsi="宋体" w:eastAsia="宋体" w:cs="宋体"/>
                <w:color w:val="auto"/>
                <w:sz w:val="24"/>
                <w:szCs w:val="24"/>
              </w:rPr>
            </w:pPr>
          </w:p>
        </w:tc>
        <w:tc>
          <w:tcPr>
            <w:tcW w:w="705" w:type="dxa"/>
            <w:noWrap w:val="0"/>
            <w:vAlign w:val="center"/>
          </w:tcPr>
          <w:p w14:paraId="3E9B8D18">
            <w:pPr>
              <w:spacing w:line="360" w:lineRule="auto"/>
              <w:jc w:val="center"/>
              <w:rPr>
                <w:rFonts w:hint="eastAsia" w:ascii="宋体" w:hAnsi="宋体" w:eastAsia="宋体" w:cs="宋体"/>
                <w:color w:val="auto"/>
                <w:sz w:val="24"/>
                <w:szCs w:val="24"/>
                <w:lang w:eastAsia="zh-CN"/>
              </w:rPr>
            </w:pPr>
          </w:p>
        </w:tc>
        <w:tc>
          <w:tcPr>
            <w:tcW w:w="810" w:type="dxa"/>
            <w:noWrap w:val="0"/>
            <w:vAlign w:val="center"/>
          </w:tcPr>
          <w:p w14:paraId="03E8E1BF">
            <w:pPr>
              <w:spacing w:line="360" w:lineRule="auto"/>
              <w:jc w:val="both"/>
              <w:rPr>
                <w:rFonts w:hint="eastAsia" w:ascii="宋体" w:hAnsi="宋体" w:eastAsia="宋体" w:cs="宋体"/>
                <w:color w:val="auto"/>
                <w:sz w:val="24"/>
                <w:szCs w:val="24"/>
                <w:lang w:val="en-US" w:eastAsia="zh-CN"/>
              </w:rPr>
            </w:pPr>
          </w:p>
        </w:tc>
        <w:tc>
          <w:tcPr>
            <w:tcW w:w="1245" w:type="dxa"/>
            <w:noWrap w:val="0"/>
            <w:vAlign w:val="center"/>
          </w:tcPr>
          <w:p w14:paraId="0862E72E">
            <w:pPr>
              <w:spacing w:line="360" w:lineRule="auto"/>
              <w:jc w:val="center"/>
              <w:rPr>
                <w:rFonts w:hint="eastAsia" w:ascii="宋体" w:hAnsi="宋体" w:eastAsia="宋体" w:cs="宋体"/>
                <w:color w:val="auto"/>
                <w:sz w:val="24"/>
                <w:szCs w:val="24"/>
                <w:lang w:val="en-US" w:eastAsia="zh-CN"/>
              </w:rPr>
            </w:pPr>
          </w:p>
        </w:tc>
        <w:tc>
          <w:tcPr>
            <w:tcW w:w="1260" w:type="dxa"/>
            <w:noWrap w:val="0"/>
            <w:vAlign w:val="center"/>
          </w:tcPr>
          <w:p w14:paraId="09BFFB9B">
            <w:pPr>
              <w:spacing w:line="360" w:lineRule="auto"/>
              <w:jc w:val="center"/>
              <w:rPr>
                <w:rFonts w:hint="eastAsia" w:ascii="宋体" w:hAnsi="宋体" w:eastAsia="宋体" w:cs="宋体"/>
                <w:color w:val="auto"/>
                <w:sz w:val="24"/>
                <w:szCs w:val="24"/>
                <w:lang w:val="en-US"/>
              </w:rPr>
            </w:pPr>
          </w:p>
        </w:tc>
      </w:tr>
      <w:tr w14:paraId="0D3A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7" w:type="dxa"/>
            <w:noWrap w:val="0"/>
            <w:vAlign w:val="top"/>
          </w:tcPr>
          <w:p w14:paraId="35A806D8">
            <w:pPr>
              <w:pStyle w:val="14"/>
              <w:keepNext w:val="0"/>
              <w:keepLines w:val="0"/>
              <w:pageBreakBefore w:val="0"/>
              <w:kinsoku/>
              <w:wordWrap/>
              <w:overflowPunct/>
              <w:topLinePunct w:val="0"/>
              <w:autoSpaceDE/>
              <w:autoSpaceDN/>
              <w:bidi w:val="0"/>
              <w:snapToGrid/>
              <w:spacing w:line="240" w:lineRule="auto"/>
              <w:jc w:val="center"/>
              <w:textAlignment w:val="auto"/>
              <w:rPr>
                <w:rFonts w:hint="eastAsia" w:ascii="宋体" w:hAnsi="宋体" w:eastAsia="宋体" w:cs="宋体"/>
                <w:sz w:val="24"/>
                <w:szCs w:val="24"/>
                <w:lang w:eastAsia="zh-CN"/>
              </w:rPr>
            </w:pPr>
            <w:r>
              <w:rPr>
                <w:rFonts w:hint="default" w:ascii="Times New Roman" w:hAnsi="Times New Roman" w:eastAsia="宋体" w:cs="Times New Roman"/>
                <w:color w:val="000000"/>
                <w:sz w:val="24"/>
                <w:szCs w:val="24"/>
                <w:highlight w:val="none"/>
              </w:rPr>
              <w:t>医用氧气</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液态</w:t>
            </w:r>
            <w:r>
              <w:rPr>
                <w:rFonts w:hint="default" w:ascii="Times New Roman" w:hAnsi="Times New Roman" w:eastAsia="宋体" w:cs="Times New Roman"/>
                <w:color w:val="000000"/>
                <w:sz w:val="24"/>
                <w:szCs w:val="24"/>
                <w:highlight w:val="none"/>
                <w:lang w:eastAsia="zh-CN"/>
              </w:rPr>
              <w:t>）</w:t>
            </w:r>
          </w:p>
        </w:tc>
        <w:tc>
          <w:tcPr>
            <w:tcW w:w="2220" w:type="dxa"/>
            <w:noWrap w:val="0"/>
            <w:vAlign w:val="center"/>
          </w:tcPr>
          <w:p w14:paraId="00B7479B">
            <w:pPr>
              <w:spacing w:line="360" w:lineRule="auto"/>
              <w:jc w:val="center"/>
              <w:rPr>
                <w:rFonts w:hint="eastAsia" w:ascii="宋体" w:hAnsi="宋体" w:eastAsia="宋体" w:cs="宋体"/>
                <w:color w:val="auto"/>
                <w:sz w:val="24"/>
                <w:szCs w:val="24"/>
              </w:rPr>
            </w:pPr>
          </w:p>
        </w:tc>
        <w:tc>
          <w:tcPr>
            <w:tcW w:w="1245" w:type="dxa"/>
            <w:noWrap w:val="0"/>
            <w:vAlign w:val="center"/>
          </w:tcPr>
          <w:p w14:paraId="1D4089DB">
            <w:pPr>
              <w:spacing w:line="360" w:lineRule="auto"/>
              <w:rPr>
                <w:rFonts w:hint="eastAsia" w:ascii="宋体" w:hAnsi="宋体" w:eastAsia="宋体" w:cs="宋体"/>
                <w:color w:val="auto"/>
                <w:sz w:val="24"/>
                <w:szCs w:val="24"/>
              </w:rPr>
            </w:pPr>
          </w:p>
        </w:tc>
        <w:tc>
          <w:tcPr>
            <w:tcW w:w="705" w:type="dxa"/>
            <w:noWrap w:val="0"/>
            <w:vAlign w:val="center"/>
          </w:tcPr>
          <w:p w14:paraId="799F890C">
            <w:pPr>
              <w:spacing w:line="360" w:lineRule="auto"/>
              <w:jc w:val="center"/>
              <w:rPr>
                <w:rFonts w:hint="eastAsia" w:ascii="宋体" w:hAnsi="宋体" w:eastAsia="宋体" w:cs="宋体"/>
                <w:color w:val="auto"/>
                <w:sz w:val="24"/>
                <w:szCs w:val="24"/>
                <w:lang w:eastAsia="zh-CN"/>
              </w:rPr>
            </w:pPr>
          </w:p>
        </w:tc>
        <w:tc>
          <w:tcPr>
            <w:tcW w:w="810" w:type="dxa"/>
            <w:noWrap w:val="0"/>
            <w:vAlign w:val="center"/>
          </w:tcPr>
          <w:p w14:paraId="0C2D2149">
            <w:pPr>
              <w:spacing w:line="360" w:lineRule="auto"/>
              <w:jc w:val="both"/>
              <w:rPr>
                <w:rFonts w:hint="eastAsia" w:ascii="宋体" w:hAnsi="宋体" w:eastAsia="宋体" w:cs="宋体"/>
                <w:color w:val="auto"/>
                <w:sz w:val="24"/>
                <w:szCs w:val="24"/>
                <w:lang w:val="en-US" w:eastAsia="zh-CN"/>
              </w:rPr>
            </w:pPr>
          </w:p>
        </w:tc>
        <w:tc>
          <w:tcPr>
            <w:tcW w:w="1245" w:type="dxa"/>
            <w:noWrap w:val="0"/>
            <w:vAlign w:val="center"/>
          </w:tcPr>
          <w:p w14:paraId="0C6D1D18">
            <w:pPr>
              <w:spacing w:line="360" w:lineRule="auto"/>
              <w:jc w:val="center"/>
              <w:rPr>
                <w:rFonts w:hint="eastAsia" w:ascii="宋体" w:hAnsi="宋体" w:eastAsia="宋体" w:cs="宋体"/>
                <w:color w:val="auto"/>
                <w:sz w:val="24"/>
                <w:szCs w:val="24"/>
                <w:lang w:val="en-US" w:eastAsia="zh-CN"/>
              </w:rPr>
            </w:pPr>
          </w:p>
        </w:tc>
        <w:tc>
          <w:tcPr>
            <w:tcW w:w="1260" w:type="dxa"/>
            <w:noWrap w:val="0"/>
            <w:vAlign w:val="center"/>
          </w:tcPr>
          <w:p w14:paraId="4166D0EE">
            <w:pPr>
              <w:spacing w:line="360" w:lineRule="auto"/>
              <w:ind w:firstLine="240" w:firstLineChars="100"/>
              <w:jc w:val="both"/>
              <w:rPr>
                <w:rFonts w:hint="eastAsia" w:ascii="宋体" w:hAnsi="宋体" w:eastAsia="宋体" w:cs="宋体"/>
                <w:color w:val="auto"/>
                <w:sz w:val="24"/>
                <w:szCs w:val="24"/>
                <w:lang w:val="en-US" w:eastAsia="zh-CN"/>
              </w:rPr>
            </w:pPr>
          </w:p>
        </w:tc>
      </w:tr>
      <w:tr w14:paraId="63AF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382" w:type="dxa"/>
            <w:gridSpan w:val="7"/>
            <w:noWrap w:val="0"/>
            <w:vAlign w:val="center"/>
          </w:tcPr>
          <w:p w14:paraId="077BB7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总金额（人民币）：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w:t>
            </w:r>
          </w:p>
        </w:tc>
      </w:tr>
    </w:tbl>
    <w:p w14:paraId="29B3941D">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备注：上述金额为3个月预计费用，具体金额按时结算。</w:t>
      </w:r>
    </w:p>
    <w:p w14:paraId="3E7FDF11">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二、合同总价</w:t>
      </w:r>
    </w:p>
    <w:p w14:paraId="49F463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合同总价为：人民币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元整，即￥</w:t>
      </w:r>
      <w:r>
        <w:rPr>
          <w:rFonts w:hint="eastAsia" w:ascii="宋体" w:hAnsi="宋体" w:eastAsia="宋体" w:cs="宋体"/>
          <w:color w:val="auto"/>
          <w:sz w:val="24"/>
          <w:szCs w:val="24"/>
          <w:u w:val="single"/>
          <w:lang w:val="en-US" w:eastAsia="zh-CN"/>
        </w:rPr>
        <w:t xml:space="preserve">   .00</w:t>
      </w:r>
      <w:r>
        <w:rPr>
          <w:rFonts w:hint="eastAsia" w:ascii="宋体" w:hAnsi="宋体" w:eastAsia="宋体" w:cs="宋体"/>
          <w:color w:val="auto"/>
          <w:sz w:val="24"/>
          <w:szCs w:val="24"/>
        </w:rPr>
        <w:t>元，该合同总金额</w:t>
      </w:r>
      <w:r>
        <w:rPr>
          <w:rFonts w:hint="eastAsia" w:ascii="宋体" w:hAnsi="宋体" w:eastAsia="宋体" w:cs="宋体"/>
          <w:bCs/>
          <w:color w:val="auto"/>
          <w:sz w:val="24"/>
          <w:szCs w:val="24"/>
        </w:rPr>
        <w:t>包括货物设计、制造、包装、送货、安装、调试、检测、验收、培训、技术服务（包括技术资料、图纸的提供）、质保期保障等一切支出，并包含关税等所有税费。本合同执行期间合同总金额不变</w:t>
      </w:r>
      <w:r>
        <w:rPr>
          <w:rFonts w:hint="eastAsia" w:ascii="宋体" w:hAnsi="宋体" w:eastAsia="宋体" w:cs="宋体"/>
          <w:color w:val="auto"/>
          <w:sz w:val="24"/>
          <w:szCs w:val="24"/>
        </w:rPr>
        <w:t>。</w:t>
      </w:r>
    </w:p>
    <w:p w14:paraId="6C6BAAA8">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三、合同组成</w:t>
      </w:r>
    </w:p>
    <w:p w14:paraId="69F5AD2A">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本项目的补充协议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等均为本合同不可分割之部分。</w:t>
      </w:r>
    </w:p>
    <w:p w14:paraId="3953E641">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四、</w:t>
      </w:r>
      <w:r>
        <w:rPr>
          <w:rFonts w:hint="eastAsia" w:ascii="宋体" w:hAnsi="宋体" w:eastAsia="宋体" w:cs="宋体"/>
          <w:b/>
          <w:bCs/>
          <w:color w:val="auto"/>
          <w:kern w:val="44"/>
          <w:sz w:val="24"/>
          <w:szCs w:val="24"/>
        </w:rPr>
        <w:t>合同履行期限</w:t>
      </w:r>
    </w:p>
    <w:p w14:paraId="55F65A1A">
      <w:pPr>
        <w:pStyle w:val="6"/>
        <w:spacing w:after="0"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rPr>
        <w:t>合同有效期：自甲方现有合同服务期结束之日起，至甲方确定新的医用氧中标供应商并签订正式合同生效之日止。</w:t>
      </w:r>
    </w:p>
    <w:p w14:paraId="04D23991">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五、</w:t>
      </w:r>
      <w:r>
        <w:rPr>
          <w:rFonts w:hint="eastAsia" w:ascii="宋体" w:hAnsi="宋体" w:eastAsia="宋体" w:cs="宋体"/>
          <w:b/>
          <w:bCs/>
          <w:color w:val="auto"/>
          <w:kern w:val="44"/>
          <w:sz w:val="24"/>
          <w:szCs w:val="24"/>
        </w:rPr>
        <w:t>交货地点、方式</w:t>
      </w:r>
    </w:p>
    <w:p w14:paraId="76454E80">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5.1交货地点：运输及卸车至甲方指定地点。</w:t>
      </w:r>
    </w:p>
    <w:p w14:paraId="5B336E4F">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5.2交货方式：在正常上班工作日内，乙方按甲方提供的数量准时将货送达。特殊情况供货时间另行商定。</w:t>
      </w:r>
    </w:p>
    <w:p w14:paraId="518558C7">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5.3 每批次交货须同时提供该批次产品的质检报告书。</w:t>
      </w:r>
    </w:p>
    <w:p w14:paraId="239D855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六、付款方式</w:t>
      </w:r>
      <w:r>
        <w:rPr>
          <w:rFonts w:hint="eastAsia" w:ascii="宋体" w:hAnsi="宋体" w:eastAsia="宋体" w:cs="宋体"/>
          <w:color w:val="auto"/>
          <w:sz w:val="24"/>
          <w:szCs w:val="24"/>
        </w:rPr>
        <w:t xml:space="preserve">    </w:t>
      </w:r>
    </w:p>
    <w:p w14:paraId="51FED3A5">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6.1每月结算一次（每月前10个工作日内），每次按从上一个结算日到本次结算日期间实际供货量结算，乙方根据甲方使用数量开具合规合法发票给甲方，并经甲方验收部门确认签名，甲方确认无其他扣款事项并收到发票后10个工作日内支付相应货款。</w:t>
      </w:r>
    </w:p>
    <w:p w14:paraId="2780D29F">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结算公式为：每月结算金额=实际供货数量×单价</w:t>
      </w:r>
    </w:p>
    <w:p w14:paraId="4853E645">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注：（1）按合同支付款项前，乙方提供正式税务发票和加盖有乙方公章的送货单、每批次的检验合格证。如果有一项没有提供，该批货物不给予支付货款。</w:t>
      </w:r>
    </w:p>
    <w:p w14:paraId="1E5F5132">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（2）乙方提供的产品如存在质量问题或气瓶漏气等情形，须在收到甲方通知后12小时内完成更换，逾期未更换的，该批货物不给予支付货款。 </w:t>
      </w:r>
    </w:p>
    <w:p w14:paraId="14946433">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七、</w:t>
      </w:r>
      <w:r>
        <w:rPr>
          <w:rFonts w:hint="eastAsia" w:ascii="宋体" w:hAnsi="宋体" w:eastAsia="宋体" w:cs="宋体"/>
          <w:b/>
          <w:bCs/>
          <w:color w:val="auto"/>
          <w:sz w:val="24"/>
          <w:szCs w:val="24"/>
        </w:rPr>
        <w:t>履约保证金</w:t>
      </w:r>
      <w:r>
        <w:rPr>
          <w:rFonts w:hint="eastAsia" w:ascii="宋体" w:hAnsi="宋体" w:eastAsia="宋体" w:cs="宋体"/>
          <w:color w:val="auto"/>
          <w:sz w:val="24"/>
          <w:szCs w:val="24"/>
        </w:rPr>
        <w:t xml:space="preserve">   </w:t>
      </w:r>
    </w:p>
    <w:p w14:paraId="17AAB9CA">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7.1乙方按本合同总额的5%向甲方提交履约保证金。 </w:t>
      </w:r>
    </w:p>
    <w:p w14:paraId="66F88C74">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7.2提交时间：乙方在签订本合同后5个工作日内需递交履约保证金。  </w:t>
      </w:r>
    </w:p>
    <w:p w14:paraId="52DFACD1">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7.3方式：以银行转账的方式缴纳或提交。本合同履行过程中，如符合以下约定情形之一，则甲方在合同期满之后10个工作日内，无息返还全部或剩余的履约保证金：</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（1）乙方没有发生违约或造成甲方损失的行为；</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（2）按照本合同的约定，扣除违约金、相应赔偿款项后仍有余额。</w:t>
      </w:r>
    </w:p>
    <w:p w14:paraId="19192066">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八、供货要求</w:t>
      </w:r>
    </w:p>
    <w:p w14:paraId="4B2D3435">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8.1乙方保证设备是全新、未曾使用过的，且进货渠道合法。其质量、规格及技术特征符合我院要求。</w:t>
      </w:r>
    </w:p>
    <w:p w14:paraId="7793ADF3">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8.2合同签订后，乙方应做好供货准备，以便随时供货。供货时以书面通知为准，乙方在收到书面通知后，用符合国家规定的运输工具（液罐车），按通知中规定的数量、交货地点等要求卸至指定的地点。如遇特殊情况，乙方须配合医院紧急用气的需求。交货时将对实际供货情况作记录，并由双方签字确认。</w:t>
      </w:r>
    </w:p>
    <w:p w14:paraId="5D08A0AC">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8.3乙方应在正常上班时间送货，特殊情况供货时间另行商定。</w:t>
      </w:r>
    </w:p>
    <w:p w14:paraId="7D4F923C">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九、</w:t>
      </w:r>
      <w:r>
        <w:rPr>
          <w:rFonts w:hint="eastAsia" w:ascii="宋体" w:hAnsi="宋体" w:eastAsia="宋体" w:cs="宋体"/>
          <w:b/>
          <w:bCs/>
          <w:color w:val="auto"/>
          <w:sz w:val="24"/>
          <w:szCs w:val="24"/>
        </w:rPr>
        <w:t>质量要求</w:t>
      </w:r>
    </w:p>
    <w:p w14:paraId="011DC32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9.1质量标准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医用液氧、医用氧气需符合《中国药典》2020版要求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纯度≥99.5%，若有新的药典标准颁布，则必须执行最新的《中国药典》版本要求。</w:t>
      </w:r>
    </w:p>
    <w:p w14:paraId="02887E87">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9.2医用氧符合</w:t>
      </w:r>
      <w:r>
        <w:rPr>
          <w:rFonts w:hint="eastAsia" w:ascii="宋体" w:hAnsi="宋体" w:eastAsia="宋体" w:cs="宋体"/>
          <w:color w:val="auto"/>
          <w:kern w:val="0"/>
          <w:sz w:val="24"/>
          <w:szCs w:val="24"/>
        </w:rPr>
        <w:t>《关于医用氧气管理问题的通知》（国食药监办〔2003〕144号）的规定。</w:t>
      </w:r>
    </w:p>
    <w:p w14:paraId="53D7371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9.3有良好的、可靠的后续技术支持，乙方</w:t>
      </w:r>
      <w:r>
        <w:rPr>
          <w:rFonts w:hint="eastAsia" w:ascii="宋体" w:hAnsi="宋体" w:eastAsia="宋体" w:cs="宋体"/>
          <w:bCs/>
          <w:color w:val="auto"/>
          <w:sz w:val="24"/>
          <w:szCs w:val="24"/>
        </w:rPr>
        <w:t>设有长期稳定的自有或合作售后服务机构</w:t>
      </w:r>
      <w:r>
        <w:rPr>
          <w:rFonts w:hint="eastAsia" w:ascii="宋体" w:hAnsi="宋体" w:eastAsia="宋体" w:cs="宋体"/>
          <w:color w:val="auto"/>
          <w:sz w:val="24"/>
          <w:szCs w:val="24"/>
        </w:rPr>
        <w:t>。</w:t>
      </w:r>
    </w:p>
    <w:p w14:paraId="329396C4">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9.4</w:t>
      </w:r>
      <w:r>
        <w:rPr>
          <w:rFonts w:hint="eastAsia" w:ascii="宋体" w:hAnsi="宋体" w:eastAsia="宋体" w:cs="宋体"/>
          <w:color w:val="auto"/>
          <w:kern w:val="0"/>
          <w:sz w:val="24"/>
          <w:szCs w:val="24"/>
        </w:rPr>
        <w:t>必须提供产品（医用氧（气态）、医用氧（液态））的检验合格证书。</w:t>
      </w:r>
    </w:p>
    <w:p w14:paraId="4A5A798A">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9.5</w:t>
      </w:r>
      <w:r>
        <w:rPr>
          <w:rFonts w:hint="eastAsia" w:ascii="宋体" w:hAnsi="宋体" w:eastAsia="宋体" w:cs="宋体"/>
          <w:color w:val="auto"/>
          <w:kern w:val="0"/>
          <w:sz w:val="24"/>
          <w:szCs w:val="24"/>
        </w:rPr>
        <w:t>所提供的货物必须为原生产厂家的全新产品，所供的医用液态氧气必须从GMP认证合格的生产企业处购买，严禁提供假冒伪劣物资，严禁用工业氧气冒充医用氧气。</w:t>
      </w:r>
    </w:p>
    <w:p w14:paraId="2EF4AB54">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9.6</w:t>
      </w:r>
      <w:r>
        <w:rPr>
          <w:rFonts w:hint="eastAsia" w:ascii="宋体" w:hAnsi="宋体" w:eastAsia="宋体" w:cs="宋体"/>
          <w:color w:val="auto"/>
          <w:kern w:val="0"/>
          <w:sz w:val="24"/>
          <w:szCs w:val="24"/>
        </w:rPr>
        <w:t>医用氧出厂前，必须按国家药品质量标准进行全检。每个容器都应贴有合格证，合格证上应注明：品名、企业名称、生产批号、生产日期、有效期、氧气数量、压力、</w:t>
      </w:r>
      <w:r>
        <w:rPr>
          <w:rFonts w:hint="eastAsia" w:ascii="宋体" w:hAnsi="宋体" w:eastAsia="宋体" w:cs="宋体"/>
          <w:color w:val="auto"/>
          <w:sz w:val="24"/>
          <w:szCs w:val="24"/>
        </w:rPr>
        <w:t>纯度、</w:t>
      </w:r>
      <w:r>
        <w:rPr>
          <w:rFonts w:hint="eastAsia" w:ascii="宋体" w:hAnsi="宋体" w:eastAsia="宋体" w:cs="宋体"/>
          <w:color w:val="auto"/>
          <w:kern w:val="0"/>
          <w:sz w:val="24"/>
          <w:szCs w:val="24"/>
        </w:rPr>
        <w:t>执行标准。</w:t>
      </w:r>
    </w:p>
    <w:p w14:paraId="1071CFEC">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9.</w:t>
      </w:r>
      <w:r>
        <w:rPr>
          <w:rFonts w:hint="eastAsia" w:ascii="宋体" w:hAnsi="宋体" w:eastAsia="宋体" w:cs="宋体"/>
          <w:color w:val="auto"/>
          <w:kern w:val="0"/>
          <w:sz w:val="24"/>
          <w:szCs w:val="24"/>
        </w:rPr>
        <w:t>7质量标识：按分装瓶随附产品检验合格证；按分装瓶标明产品名称，生产日期、生产批号、气体的容量（m3）、压力（Mpa）、质量（kg）和纯度（%）、执行标准代号、生产企业等。</w:t>
      </w:r>
    </w:p>
    <w:p w14:paraId="4CE72E3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9.8气瓶维护保养和检测：所有使用气瓶应符合国家安全质量要求，依据国家法例规定，钢瓶应有每三年定期检验标识。</w:t>
      </w:r>
    </w:p>
    <w:p w14:paraId="104B04E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9.9乙方应满足甲方在合同履行期内不间断用气的要求。对不符合质量要求和标识要求的货品，甲方有权拒收，乙方应及时给予退换。</w:t>
      </w:r>
    </w:p>
    <w:p w14:paraId="37D4449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9.10乙方在合同履行期内，无偿向甲方操作人员提供相关医用气体用具安全使用等方面的技术指导。</w:t>
      </w:r>
    </w:p>
    <w:p w14:paraId="5FF54764">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bCs/>
          <w:color w:val="auto"/>
          <w:sz w:val="24"/>
          <w:szCs w:val="24"/>
        </w:rPr>
        <w:t>其他要求</w:t>
      </w:r>
    </w:p>
    <w:p w14:paraId="7CA14A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10.1在规定的质保期内，乙方对所供的医用氧气由于制造或材料缺陷而发生的任何损失负责。</w:t>
      </w:r>
    </w:p>
    <w:p w14:paraId="796D0BC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10.2应拥有完善的储存、中转和装卸等配套设施。受托方在氧气储存、中转、装卸等配套设施方面的证明文件。其中配备的储存、中转、装卸设备必须符合国家有关要求，必须符合安全监管部门危险化学品储存标准，并经验收合格。</w:t>
      </w:r>
    </w:p>
    <w:p w14:paraId="25C0420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10.3提供下列证明材料复印件并加盖乙方公章：（包含但不限于）</w:t>
      </w:r>
    </w:p>
    <w:p w14:paraId="07C63C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量档案样本，验收、养护、销售记录样本；企业负责人具有应急管理部门颁发的有效的《安全生产知识和管理能力考核合格证》，养护保管人员具有应急管理部门颁发的有效的《危险化学品操作证》；专用运输车辆的情况；各项规章制度、生产操作流程及规范。</w:t>
      </w:r>
    </w:p>
    <w:p w14:paraId="1266C808">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10.4遵循《广州市公安局交通警察支队关于调整广州市区货车限行范围的通告》（穗公交规字〔2023〕3号）有关规定。</w:t>
      </w:r>
    </w:p>
    <w:p w14:paraId="3E90F761">
      <w:pPr>
        <w:spacing w:line="360" w:lineRule="auto"/>
        <w:ind w:left="1205" w:hanging="1205" w:hangingChars="5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十一、气瓶管理</w:t>
      </w:r>
    </w:p>
    <w:p w14:paraId="2732CACB">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11.1气瓶提供：甲方使用的周转气瓶（2L、4L、6L、10L、15L、20L等）钢瓶（空瓶）由乙方无偿提供，且应充分满足甲方需求。</w:t>
      </w:r>
    </w:p>
    <w:p w14:paraId="1868A610">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11.2气瓶数量：乙方应保证提供的气瓶数量满足甲方日常周转及应急备用需要。如甲方自有气瓶数量不足或送检维修期间需补充周转时，乙方应按甲方实际需求及时提供合理数量的备用气瓶，具体规格及数量以甲方通知为准。</w:t>
      </w:r>
    </w:p>
    <w:p w14:paraId="16D7BF4D">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11.3气瓶维护保养与检测：乙方负责对气瓶（含甲方可能提供的气瓶）进行维护保养、定期检验，并由具备检验资质的公司出具检测合格证明，确保所有使用气瓶符合国家安全质量要求及《气瓶安全技术监察规程》规定。</w:t>
      </w:r>
    </w:p>
    <w:p w14:paraId="6E7C31DB">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11.4气瓶安全：钢瓶应有每三年定期检验标识，瓶身完好、无锈蚀、无残旧污损，阀门及接口密封良好。</w:t>
      </w:r>
    </w:p>
    <w:p w14:paraId="2CA41563">
      <w:pPr>
        <w:pStyle w:val="6"/>
        <w:spacing w:after="0" w:line="360" w:lineRule="auto"/>
        <w:rPr>
          <w:rFonts w:hint="eastAsia" w:ascii="宋体" w:hAnsi="宋体" w:eastAsia="宋体" w:cs="宋体"/>
          <w:b/>
          <w:color w:val="auto"/>
          <w:sz w:val="24"/>
          <w:szCs w:val="24"/>
        </w:rPr>
      </w:pPr>
      <w:r>
        <w:rPr>
          <w:rFonts w:hint="eastAsia" w:ascii="宋体" w:hAnsi="宋体" w:eastAsia="宋体" w:cs="宋体"/>
          <w:color w:val="auto"/>
          <w:kern w:val="2"/>
          <w:sz w:val="24"/>
          <w:szCs w:val="24"/>
          <w:lang w:val="en-US" w:eastAsia="zh-CN"/>
        </w:rPr>
        <w:t>11.5费用承担：以上气瓶的提供、维护保养、检测等一切费用均包含在本项目综合单价中，甲方不再另行支付。</w:t>
      </w:r>
    </w:p>
    <w:p w14:paraId="3FA59D23">
      <w:pPr>
        <w:spacing w:line="360" w:lineRule="auto"/>
        <w:ind w:left="1205" w:hanging="1205" w:hanging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、考核办法</w:t>
      </w:r>
    </w:p>
    <w:p w14:paraId="0E3A7F88">
      <w:pPr>
        <w:pStyle w:val="15"/>
        <w:widowControl w:val="0"/>
        <w:spacing w:before="0"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甲方根据《考核标准》（下见附件一）</w:t>
      </w:r>
      <w:r>
        <w:rPr>
          <w:rFonts w:hint="eastAsia" w:ascii="宋体" w:hAnsi="宋体" w:eastAsia="宋体" w:cs="宋体"/>
          <w:b w:val="0"/>
          <w:bCs/>
          <w:color w:val="auto"/>
          <w:sz w:val="24"/>
          <w:szCs w:val="24"/>
          <w:lang w:val="en-US" w:eastAsia="zh-CN"/>
        </w:rPr>
        <w:t>按需</w:t>
      </w:r>
      <w:r>
        <w:rPr>
          <w:rFonts w:hint="eastAsia" w:ascii="宋体" w:hAnsi="宋体" w:eastAsia="宋体" w:cs="宋体"/>
          <w:b w:val="0"/>
          <w:bCs/>
          <w:color w:val="auto"/>
          <w:sz w:val="24"/>
          <w:szCs w:val="24"/>
        </w:rPr>
        <w:t>对乙方进行考核。考评总得分为100分，如果考核得分在80分（不含）以下的，甲方有权解除本合同，甲方不作任何补偿，所有责任由乙方负责。</w:t>
      </w:r>
    </w:p>
    <w:p w14:paraId="62CEF673">
      <w:pPr>
        <w:pStyle w:val="15"/>
        <w:widowControl w:val="0"/>
        <w:spacing w:before="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附件一：考核标准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326"/>
        <w:gridCol w:w="3116"/>
        <w:gridCol w:w="1275"/>
        <w:gridCol w:w="1574"/>
      </w:tblGrid>
      <w:tr w14:paraId="7161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noWrap w:val="0"/>
            <w:vAlign w:val="center"/>
          </w:tcPr>
          <w:p w14:paraId="5F3FDC1B">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26" w:type="dxa"/>
            <w:noWrap w:val="0"/>
            <w:vAlign w:val="center"/>
          </w:tcPr>
          <w:p w14:paraId="06965E35">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3116" w:type="dxa"/>
            <w:noWrap w:val="0"/>
            <w:vAlign w:val="center"/>
          </w:tcPr>
          <w:p w14:paraId="219B5C4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1275" w:type="dxa"/>
            <w:noWrap w:val="0"/>
            <w:vAlign w:val="center"/>
          </w:tcPr>
          <w:p w14:paraId="7B1F47E8">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得分</w:t>
            </w:r>
          </w:p>
        </w:tc>
        <w:tc>
          <w:tcPr>
            <w:tcW w:w="1574" w:type="dxa"/>
            <w:noWrap w:val="0"/>
            <w:vAlign w:val="center"/>
          </w:tcPr>
          <w:p w14:paraId="4FF0AC44">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需整改内容</w:t>
            </w:r>
          </w:p>
        </w:tc>
      </w:tr>
      <w:tr w14:paraId="1A26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87" w:type="dxa"/>
            <w:vMerge w:val="restart"/>
            <w:noWrap w:val="0"/>
            <w:vAlign w:val="center"/>
          </w:tcPr>
          <w:p w14:paraId="72449F8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26" w:type="dxa"/>
            <w:vMerge w:val="restart"/>
            <w:noWrap w:val="0"/>
            <w:vAlign w:val="center"/>
          </w:tcPr>
          <w:p w14:paraId="574E389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配送时效评价</w:t>
            </w:r>
          </w:p>
        </w:tc>
        <w:tc>
          <w:tcPr>
            <w:tcW w:w="3116" w:type="dxa"/>
            <w:noWrap w:val="0"/>
            <w:vAlign w:val="center"/>
          </w:tcPr>
          <w:p w14:paraId="3CACD7A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3BEACA24">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6ED86378">
            <w:pPr>
              <w:spacing w:line="400" w:lineRule="exact"/>
              <w:jc w:val="center"/>
              <w:rPr>
                <w:rFonts w:hint="eastAsia" w:ascii="宋体" w:hAnsi="宋体" w:eastAsia="宋体" w:cs="宋体"/>
                <w:color w:val="auto"/>
                <w:sz w:val="24"/>
                <w:szCs w:val="24"/>
              </w:rPr>
            </w:pPr>
          </w:p>
        </w:tc>
      </w:tr>
      <w:tr w14:paraId="70D7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22CDA644">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3DF3448F">
            <w:pPr>
              <w:spacing w:line="400" w:lineRule="exact"/>
              <w:jc w:val="center"/>
              <w:rPr>
                <w:rFonts w:hint="eastAsia" w:ascii="宋体" w:hAnsi="宋体" w:eastAsia="宋体" w:cs="宋体"/>
                <w:color w:val="auto"/>
                <w:sz w:val="24"/>
                <w:szCs w:val="24"/>
              </w:rPr>
            </w:pPr>
          </w:p>
        </w:tc>
        <w:tc>
          <w:tcPr>
            <w:tcW w:w="3116" w:type="dxa"/>
            <w:noWrap w:val="0"/>
            <w:vAlign w:val="center"/>
          </w:tcPr>
          <w:p w14:paraId="1A7250B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46202499">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2D8190A0">
            <w:pPr>
              <w:spacing w:line="400" w:lineRule="exact"/>
              <w:jc w:val="center"/>
              <w:rPr>
                <w:rFonts w:hint="eastAsia" w:ascii="宋体" w:hAnsi="宋体" w:eastAsia="宋体" w:cs="宋体"/>
                <w:color w:val="auto"/>
                <w:sz w:val="24"/>
                <w:szCs w:val="24"/>
              </w:rPr>
            </w:pPr>
          </w:p>
        </w:tc>
      </w:tr>
      <w:tr w14:paraId="48E2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40AC583F">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7C164988">
            <w:pPr>
              <w:spacing w:line="400" w:lineRule="exact"/>
              <w:jc w:val="center"/>
              <w:rPr>
                <w:rFonts w:hint="eastAsia" w:ascii="宋体" w:hAnsi="宋体" w:eastAsia="宋体" w:cs="宋体"/>
                <w:color w:val="auto"/>
                <w:sz w:val="24"/>
                <w:szCs w:val="24"/>
              </w:rPr>
            </w:pPr>
          </w:p>
        </w:tc>
        <w:tc>
          <w:tcPr>
            <w:tcW w:w="3116" w:type="dxa"/>
            <w:noWrap w:val="0"/>
            <w:vAlign w:val="center"/>
          </w:tcPr>
          <w:p w14:paraId="28DA4C0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noWrap w:val="0"/>
            <w:vAlign w:val="center"/>
          </w:tcPr>
          <w:p w14:paraId="29128B82">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78FF81F7">
            <w:pPr>
              <w:spacing w:line="400" w:lineRule="exact"/>
              <w:jc w:val="center"/>
              <w:rPr>
                <w:rFonts w:hint="eastAsia" w:ascii="宋体" w:hAnsi="宋体" w:eastAsia="宋体" w:cs="宋体"/>
                <w:color w:val="auto"/>
                <w:sz w:val="24"/>
                <w:szCs w:val="24"/>
              </w:rPr>
            </w:pPr>
          </w:p>
        </w:tc>
      </w:tr>
      <w:tr w14:paraId="36F9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noWrap w:val="0"/>
            <w:vAlign w:val="center"/>
          </w:tcPr>
          <w:p w14:paraId="2181DAD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26" w:type="dxa"/>
            <w:vMerge w:val="restart"/>
            <w:noWrap w:val="0"/>
            <w:vAlign w:val="center"/>
          </w:tcPr>
          <w:p w14:paraId="43B8415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服务人员态度评价</w:t>
            </w:r>
          </w:p>
        </w:tc>
        <w:tc>
          <w:tcPr>
            <w:tcW w:w="3116" w:type="dxa"/>
            <w:noWrap w:val="0"/>
            <w:vAlign w:val="center"/>
          </w:tcPr>
          <w:p w14:paraId="4AB248A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7161380E">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26B6D481">
            <w:pPr>
              <w:spacing w:line="400" w:lineRule="exact"/>
              <w:jc w:val="center"/>
              <w:rPr>
                <w:rFonts w:hint="eastAsia" w:ascii="宋体" w:hAnsi="宋体" w:eastAsia="宋体" w:cs="宋体"/>
                <w:color w:val="auto"/>
                <w:sz w:val="24"/>
                <w:szCs w:val="24"/>
              </w:rPr>
            </w:pPr>
          </w:p>
        </w:tc>
      </w:tr>
      <w:tr w14:paraId="4D9D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24C9FC85">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2775748F">
            <w:pPr>
              <w:spacing w:line="400" w:lineRule="exact"/>
              <w:jc w:val="center"/>
              <w:rPr>
                <w:rFonts w:hint="eastAsia" w:ascii="宋体" w:hAnsi="宋体" w:eastAsia="宋体" w:cs="宋体"/>
                <w:color w:val="auto"/>
                <w:sz w:val="24"/>
                <w:szCs w:val="24"/>
              </w:rPr>
            </w:pPr>
          </w:p>
        </w:tc>
        <w:tc>
          <w:tcPr>
            <w:tcW w:w="3116" w:type="dxa"/>
            <w:noWrap w:val="0"/>
            <w:vAlign w:val="center"/>
          </w:tcPr>
          <w:p w14:paraId="4D6F0C7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058FB989">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78FECB0E">
            <w:pPr>
              <w:spacing w:line="400" w:lineRule="exact"/>
              <w:jc w:val="center"/>
              <w:rPr>
                <w:rFonts w:hint="eastAsia" w:ascii="宋体" w:hAnsi="宋体" w:eastAsia="宋体" w:cs="宋体"/>
                <w:color w:val="auto"/>
                <w:sz w:val="24"/>
                <w:szCs w:val="24"/>
              </w:rPr>
            </w:pPr>
          </w:p>
        </w:tc>
      </w:tr>
      <w:tr w14:paraId="2575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384B8DA8">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28A1AAB3">
            <w:pPr>
              <w:spacing w:line="400" w:lineRule="exact"/>
              <w:jc w:val="center"/>
              <w:rPr>
                <w:rFonts w:hint="eastAsia" w:ascii="宋体" w:hAnsi="宋体" w:eastAsia="宋体" w:cs="宋体"/>
                <w:color w:val="auto"/>
                <w:sz w:val="24"/>
                <w:szCs w:val="24"/>
              </w:rPr>
            </w:pPr>
          </w:p>
        </w:tc>
        <w:tc>
          <w:tcPr>
            <w:tcW w:w="3116" w:type="dxa"/>
            <w:noWrap w:val="0"/>
            <w:vAlign w:val="center"/>
          </w:tcPr>
          <w:p w14:paraId="5725607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noWrap w:val="0"/>
            <w:vAlign w:val="center"/>
          </w:tcPr>
          <w:p w14:paraId="04834DF3">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0AF83DB4">
            <w:pPr>
              <w:spacing w:line="400" w:lineRule="exact"/>
              <w:jc w:val="center"/>
              <w:rPr>
                <w:rFonts w:hint="eastAsia" w:ascii="宋体" w:hAnsi="宋体" w:eastAsia="宋体" w:cs="宋体"/>
                <w:color w:val="auto"/>
                <w:sz w:val="24"/>
                <w:szCs w:val="24"/>
              </w:rPr>
            </w:pPr>
          </w:p>
        </w:tc>
      </w:tr>
      <w:tr w14:paraId="4181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noWrap w:val="0"/>
            <w:vAlign w:val="center"/>
          </w:tcPr>
          <w:p w14:paraId="3BBF720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26" w:type="dxa"/>
            <w:vMerge w:val="restart"/>
            <w:noWrap w:val="0"/>
            <w:vAlign w:val="center"/>
          </w:tcPr>
          <w:p w14:paraId="2C1750F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配送货物质量、完好性评价</w:t>
            </w:r>
          </w:p>
        </w:tc>
        <w:tc>
          <w:tcPr>
            <w:tcW w:w="3116" w:type="dxa"/>
            <w:noWrap w:val="0"/>
            <w:vAlign w:val="center"/>
          </w:tcPr>
          <w:p w14:paraId="36CFD9EF">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4FF0B82C">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1E8643D7">
            <w:pPr>
              <w:spacing w:line="400" w:lineRule="exact"/>
              <w:jc w:val="center"/>
              <w:rPr>
                <w:rFonts w:hint="eastAsia" w:ascii="宋体" w:hAnsi="宋体" w:eastAsia="宋体" w:cs="宋体"/>
                <w:color w:val="auto"/>
                <w:sz w:val="24"/>
                <w:szCs w:val="24"/>
              </w:rPr>
            </w:pPr>
          </w:p>
        </w:tc>
      </w:tr>
      <w:tr w14:paraId="385D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19C883F6">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50539FAC">
            <w:pPr>
              <w:spacing w:line="400" w:lineRule="exact"/>
              <w:jc w:val="center"/>
              <w:rPr>
                <w:rFonts w:hint="eastAsia" w:ascii="宋体" w:hAnsi="宋体" w:eastAsia="宋体" w:cs="宋体"/>
                <w:color w:val="auto"/>
                <w:sz w:val="24"/>
                <w:szCs w:val="24"/>
              </w:rPr>
            </w:pPr>
          </w:p>
        </w:tc>
        <w:tc>
          <w:tcPr>
            <w:tcW w:w="3116" w:type="dxa"/>
            <w:noWrap w:val="0"/>
            <w:vAlign w:val="center"/>
          </w:tcPr>
          <w:p w14:paraId="5A54945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5E2DC058">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7C652303">
            <w:pPr>
              <w:spacing w:line="400" w:lineRule="exact"/>
              <w:jc w:val="center"/>
              <w:rPr>
                <w:rFonts w:hint="eastAsia" w:ascii="宋体" w:hAnsi="宋体" w:eastAsia="宋体" w:cs="宋体"/>
                <w:color w:val="auto"/>
                <w:sz w:val="24"/>
                <w:szCs w:val="24"/>
              </w:rPr>
            </w:pPr>
          </w:p>
        </w:tc>
      </w:tr>
      <w:tr w14:paraId="3952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056D7105">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5195C8C5">
            <w:pPr>
              <w:spacing w:line="400" w:lineRule="exact"/>
              <w:jc w:val="center"/>
              <w:rPr>
                <w:rFonts w:hint="eastAsia" w:ascii="宋体" w:hAnsi="宋体" w:eastAsia="宋体" w:cs="宋体"/>
                <w:color w:val="auto"/>
                <w:sz w:val="24"/>
                <w:szCs w:val="24"/>
              </w:rPr>
            </w:pPr>
          </w:p>
        </w:tc>
        <w:tc>
          <w:tcPr>
            <w:tcW w:w="3116" w:type="dxa"/>
            <w:noWrap w:val="0"/>
            <w:vAlign w:val="center"/>
          </w:tcPr>
          <w:p w14:paraId="76CAAE2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noWrap w:val="0"/>
            <w:vAlign w:val="center"/>
          </w:tcPr>
          <w:p w14:paraId="45C6A81B">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166F5596">
            <w:pPr>
              <w:spacing w:line="400" w:lineRule="exact"/>
              <w:jc w:val="center"/>
              <w:rPr>
                <w:rFonts w:hint="eastAsia" w:ascii="宋体" w:hAnsi="宋体" w:eastAsia="宋体" w:cs="宋体"/>
                <w:color w:val="auto"/>
                <w:sz w:val="24"/>
                <w:szCs w:val="24"/>
              </w:rPr>
            </w:pPr>
          </w:p>
        </w:tc>
      </w:tr>
      <w:tr w14:paraId="6D68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noWrap w:val="0"/>
            <w:vAlign w:val="center"/>
          </w:tcPr>
          <w:p w14:paraId="52369B1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26" w:type="dxa"/>
            <w:vMerge w:val="restart"/>
            <w:noWrap w:val="0"/>
            <w:vAlign w:val="center"/>
          </w:tcPr>
          <w:p w14:paraId="511B5A4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培训评价</w:t>
            </w:r>
          </w:p>
        </w:tc>
        <w:tc>
          <w:tcPr>
            <w:tcW w:w="3116" w:type="dxa"/>
            <w:noWrap w:val="0"/>
            <w:vAlign w:val="center"/>
          </w:tcPr>
          <w:p w14:paraId="61E2F42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2C61936E">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11E65845">
            <w:pPr>
              <w:spacing w:line="400" w:lineRule="exact"/>
              <w:jc w:val="center"/>
              <w:rPr>
                <w:rFonts w:hint="eastAsia" w:ascii="宋体" w:hAnsi="宋体" w:eastAsia="宋体" w:cs="宋体"/>
                <w:color w:val="auto"/>
                <w:sz w:val="24"/>
                <w:szCs w:val="24"/>
              </w:rPr>
            </w:pPr>
          </w:p>
        </w:tc>
      </w:tr>
      <w:tr w14:paraId="7112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5F8D334A">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31A9C453">
            <w:pPr>
              <w:spacing w:line="400" w:lineRule="exact"/>
              <w:jc w:val="center"/>
              <w:rPr>
                <w:rFonts w:hint="eastAsia" w:ascii="宋体" w:hAnsi="宋体" w:eastAsia="宋体" w:cs="宋体"/>
                <w:color w:val="auto"/>
                <w:sz w:val="24"/>
                <w:szCs w:val="24"/>
              </w:rPr>
            </w:pPr>
          </w:p>
        </w:tc>
        <w:tc>
          <w:tcPr>
            <w:tcW w:w="3116" w:type="dxa"/>
            <w:noWrap w:val="0"/>
            <w:vAlign w:val="center"/>
          </w:tcPr>
          <w:p w14:paraId="5A75618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6887F6D1">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5B5796B4">
            <w:pPr>
              <w:spacing w:line="400" w:lineRule="exact"/>
              <w:jc w:val="center"/>
              <w:rPr>
                <w:rFonts w:hint="eastAsia" w:ascii="宋体" w:hAnsi="宋体" w:eastAsia="宋体" w:cs="宋体"/>
                <w:color w:val="auto"/>
                <w:sz w:val="24"/>
                <w:szCs w:val="24"/>
              </w:rPr>
            </w:pPr>
          </w:p>
        </w:tc>
      </w:tr>
      <w:tr w14:paraId="0CFD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4BA444F7">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01ABF955">
            <w:pPr>
              <w:spacing w:line="400" w:lineRule="exact"/>
              <w:jc w:val="center"/>
              <w:rPr>
                <w:rFonts w:hint="eastAsia" w:ascii="宋体" w:hAnsi="宋体" w:eastAsia="宋体" w:cs="宋体"/>
                <w:color w:val="auto"/>
                <w:sz w:val="24"/>
                <w:szCs w:val="24"/>
              </w:rPr>
            </w:pPr>
          </w:p>
        </w:tc>
        <w:tc>
          <w:tcPr>
            <w:tcW w:w="3116" w:type="dxa"/>
            <w:noWrap w:val="0"/>
            <w:vAlign w:val="center"/>
          </w:tcPr>
          <w:p w14:paraId="3635510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noWrap w:val="0"/>
            <w:vAlign w:val="center"/>
          </w:tcPr>
          <w:p w14:paraId="6E68897A">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7EBF784C">
            <w:pPr>
              <w:spacing w:line="400" w:lineRule="exact"/>
              <w:jc w:val="center"/>
              <w:rPr>
                <w:rFonts w:hint="eastAsia" w:ascii="宋体" w:hAnsi="宋体" w:eastAsia="宋体" w:cs="宋体"/>
                <w:color w:val="auto"/>
                <w:sz w:val="24"/>
                <w:szCs w:val="24"/>
              </w:rPr>
            </w:pPr>
          </w:p>
        </w:tc>
      </w:tr>
      <w:tr w14:paraId="6C9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noWrap w:val="0"/>
            <w:vAlign w:val="center"/>
          </w:tcPr>
          <w:p w14:paraId="286B0DF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26" w:type="dxa"/>
            <w:vMerge w:val="restart"/>
            <w:noWrap w:val="0"/>
            <w:vAlign w:val="center"/>
          </w:tcPr>
          <w:p w14:paraId="19F0738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完成采购人交办的任务和配合采购人服务评价</w:t>
            </w:r>
          </w:p>
        </w:tc>
        <w:tc>
          <w:tcPr>
            <w:tcW w:w="3116" w:type="dxa"/>
            <w:noWrap w:val="0"/>
            <w:vAlign w:val="center"/>
          </w:tcPr>
          <w:p w14:paraId="1C758D7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6B35C4B3">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1D44290C">
            <w:pPr>
              <w:spacing w:line="400" w:lineRule="exact"/>
              <w:jc w:val="center"/>
              <w:rPr>
                <w:rFonts w:hint="eastAsia" w:ascii="宋体" w:hAnsi="宋体" w:eastAsia="宋体" w:cs="宋体"/>
                <w:color w:val="auto"/>
                <w:sz w:val="24"/>
                <w:szCs w:val="24"/>
              </w:rPr>
            </w:pPr>
          </w:p>
        </w:tc>
      </w:tr>
      <w:tr w14:paraId="414C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606FE042">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782DDA18">
            <w:pPr>
              <w:spacing w:line="400" w:lineRule="exact"/>
              <w:jc w:val="center"/>
              <w:rPr>
                <w:rFonts w:hint="eastAsia" w:ascii="宋体" w:hAnsi="宋体" w:eastAsia="宋体" w:cs="宋体"/>
                <w:color w:val="auto"/>
                <w:sz w:val="24"/>
                <w:szCs w:val="24"/>
              </w:rPr>
            </w:pPr>
          </w:p>
        </w:tc>
        <w:tc>
          <w:tcPr>
            <w:tcW w:w="3116" w:type="dxa"/>
            <w:noWrap w:val="0"/>
            <w:vAlign w:val="center"/>
          </w:tcPr>
          <w:p w14:paraId="644A8F7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0EDA37EC">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0F207C4D">
            <w:pPr>
              <w:spacing w:line="400" w:lineRule="exact"/>
              <w:jc w:val="center"/>
              <w:rPr>
                <w:rFonts w:hint="eastAsia" w:ascii="宋体" w:hAnsi="宋体" w:eastAsia="宋体" w:cs="宋体"/>
                <w:color w:val="auto"/>
                <w:sz w:val="24"/>
                <w:szCs w:val="24"/>
              </w:rPr>
            </w:pPr>
          </w:p>
        </w:tc>
      </w:tr>
      <w:tr w14:paraId="0CF6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42287A98">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40A10E48">
            <w:pPr>
              <w:spacing w:line="400" w:lineRule="exact"/>
              <w:jc w:val="center"/>
              <w:rPr>
                <w:rFonts w:hint="eastAsia" w:ascii="宋体" w:hAnsi="宋体" w:eastAsia="宋体" w:cs="宋体"/>
                <w:color w:val="auto"/>
                <w:sz w:val="24"/>
                <w:szCs w:val="24"/>
              </w:rPr>
            </w:pPr>
          </w:p>
        </w:tc>
        <w:tc>
          <w:tcPr>
            <w:tcW w:w="3116" w:type="dxa"/>
            <w:noWrap w:val="0"/>
            <w:vAlign w:val="center"/>
          </w:tcPr>
          <w:p w14:paraId="77DFC8C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noWrap w:val="0"/>
            <w:vAlign w:val="center"/>
          </w:tcPr>
          <w:p w14:paraId="748F07EC">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774EF4E5">
            <w:pPr>
              <w:spacing w:line="400" w:lineRule="exact"/>
              <w:jc w:val="center"/>
              <w:rPr>
                <w:rFonts w:hint="eastAsia" w:ascii="宋体" w:hAnsi="宋体" w:eastAsia="宋体" w:cs="宋体"/>
                <w:color w:val="auto"/>
                <w:sz w:val="24"/>
                <w:szCs w:val="24"/>
              </w:rPr>
            </w:pPr>
          </w:p>
        </w:tc>
      </w:tr>
      <w:tr w14:paraId="5A2A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noWrap w:val="0"/>
            <w:vAlign w:val="center"/>
          </w:tcPr>
          <w:p w14:paraId="6C11BE9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26" w:type="dxa"/>
            <w:vMerge w:val="restart"/>
            <w:noWrap w:val="0"/>
            <w:vAlign w:val="center"/>
          </w:tcPr>
          <w:p w14:paraId="6A4D6CA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退换货处理效率及准确性</w:t>
            </w:r>
          </w:p>
        </w:tc>
        <w:tc>
          <w:tcPr>
            <w:tcW w:w="3116" w:type="dxa"/>
            <w:noWrap w:val="0"/>
            <w:vAlign w:val="center"/>
          </w:tcPr>
          <w:p w14:paraId="259007B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noWrap w:val="0"/>
            <w:vAlign w:val="center"/>
          </w:tcPr>
          <w:p w14:paraId="5CFB49AA">
            <w:pPr>
              <w:spacing w:line="400" w:lineRule="exact"/>
              <w:jc w:val="center"/>
              <w:rPr>
                <w:rFonts w:hint="eastAsia" w:ascii="宋体" w:hAnsi="宋体" w:eastAsia="宋体" w:cs="宋体"/>
                <w:color w:val="auto"/>
                <w:sz w:val="24"/>
                <w:szCs w:val="24"/>
              </w:rPr>
            </w:pPr>
          </w:p>
        </w:tc>
        <w:tc>
          <w:tcPr>
            <w:tcW w:w="1574" w:type="dxa"/>
            <w:vMerge w:val="restart"/>
            <w:noWrap w:val="0"/>
            <w:vAlign w:val="center"/>
          </w:tcPr>
          <w:p w14:paraId="2C18E0E4">
            <w:pPr>
              <w:spacing w:line="400" w:lineRule="exact"/>
              <w:jc w:val="center"/>
              <w:rPr>
                <w:rFonts w:hint="eastAsia" w:ascii="宋体" w:hAnsi="宋体" w:eastAsia="宋体" w:cs="宋体"/>
                <w:color w:val="auto"/>
                <w:sz w:val="24"/>
                <w:szCs w:val="24"/>
              </w:rPr>
            </w:pPr>
          </w:p>
        </w:tc>
      </w:tr>
      <w:tr w14:paraId="316E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noWrap w:val="0"/>
            <w:vAlign w:val="center"/>
          </w:tcPr>
          <w:p w14:paraId="59ABDDFF">
            <w:pPr>
              <w:spacing w:line="400" w:lineRule="exact"/>
              <w:jc w:val="center"/>
              <w:rPr>
                <w:rFonts w:hint="eastAsia" w:ascii="宋体" w:hAnsi="宋体" w:eastAsia="宋体" w:cs="宋体"/>
                <w:color w:val="auto"/>
                <w:sz w:val="24"/>
                <w:szCs w:val="24"/>
              </w:rPr>
            </w:pPr>
          </w:p>
        </w:tc>
        <w:tc>
          <w:tcPr>
            <w:tcW w:w="2326" w:type="dxa"/>
            <w:vMerge w:val="continue"/>
            <w:noWrap w:val="0"/>
            <w:vAlign w:val="center"/>
          </w:tcPr>
          <w:p w14:paraId="068C1148">
            <w:pPr>
              <w:spacing w:line="400" w:lineRule="exact"/>
              <w:jc w:val="center"/>
              <w:rPr>
                <w:rFonts w:hint="eastAsia" w:ascii="宋体" w:hAnsi="宋体" w:eastAsia="宋体" w:cs="宋体"/>
                <w:color w:val="auto"/>
                <w:sz w:val="24"/>
                <w:szCs w:val="24"/>
              </w:rPr>
            </w:pPr>
          </w:p>
        </w:tc>
        <w:tc>
          <w:tcPr>
            <w:tcW w:w="3116" w:type="dxa"/>
            <w:noWrap w:val="0"/>
            <w:vAlign w:val="center"/>
          </w:tcPr>
          <w:p w14:paraId="737F5690">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noWrap w:val="0"/>
            <w:vAlign w:val="center"/>
          </w:tcPr>
          <w:p w14:paraId="16602442">
            <w:pPr>
              <w:spacing w:line="400" w:lineRule="exact"/>
              <w:jc w:val="center"/>
              <w:rPr>
                <w:rFonts w:hint="eastAsia" w:ascii="宋体" w:hAnsi="宋体" w:eastAsia="宋体" w:cs="宋体"/>
                <w:color w:val="auto"/>
                <w:sz w:val="24"/>
                <w:szCs w:val="24"/>
              </w:rPr>
            </w:pPr>
          </w:p>
        </w:tc>
        <w:tc>
          <w:tcPr>
            <w:tcW w:w="1574" w:type="dxa"/>
            <w:vMerge w:val="continue"/>
            <w:noWrap w:val="0"/>
            <w:vAlign w:val="center"/>
          </w:tcPr>
          <w:p w14:paraId="551E7C3B">
            <w:pPr>
              <w:spacing w:line="400" w:lineRule="exact"/>
              <w:jc w:val="center"/>
              <w:rPr>
                <w:rFonts w:hint="eastAsia" w:ascii="宋体" w:hAnsi="宋体" w:eastAsia="宋体" w:cs="宋体"/>
                <w:color w:val="auto"/>
                <w:sz w:val="24"/>
                <w:szCs w:val="24"/>
              </w:rPr>
            </w:pPr>
          </w:p>
        </w:tc>
      </w:tr>
      <w:tr w14:paraId="452D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87" w:type="dxa"/>
            <w:vMerge w:val="continue"/>
            <w:tcBorders>
              <w:bottom w:val="single" w:color="auto" w:sz="4" w:space="0"/>
            </w:tcBorders>
            <w:noWrap w:val="0"/>
            <w:vAlign w:val="center"/>
          </w:tcPr>
          <w:p w14:paraId="29510220">
            <w:pPr>
              <w:spacing w:line="400" w:lineRule="exact"/>
              <w:jc w:val="center"/>
              <w:rPr>
                <w:rFonts w:hint="eastAsia" w:ascii="宋体" w:hAnsi="宋体" w:eastAsia="宋体" w:cs="宋体"/>
                <w:color w:val="auto"/>
                <w:sz w:val="24"/>
                <w:szCs w:val="24"/>
              </w:rPr>
            </w:pPr>
          </w:p>
        </w:tc>
        <w:tc>
          <w:tcPr>
            <w:tcW w:w="2326" w:type="dxa"/>
            <w:vMerge w:val="continue"/>
            <w:tcBorders>
              <w:bottom w:val="single" w:color="auto" w:sz="4" w:space="0"/>
            </w:tcBorders>
            <w:noWrap w:val="0"/>
            <w:vAlign w:val="center"/>
          </w:tcPr>
          <w:p w14:paraId="3F1C02E9">
            <w:pPr>
              <w:spacing w:line="400" w:lineRule="exact"/>
              <w:jc w:val="center"/>
              <w:rPr>
                <w:rFonts w:hint="eastAsia" w:ascii="宋体" w:hAnsi="宋体" w:eastAsia="宋体" w:cs="宋体"/>
                <w:color w:val="auto"/>
                <w:sz w:val="24"/>
                <w:szCs w:val="24"/>
              </w:rPr>
            </w:pPr>
          </w:p>
        </w:tc>
        <w:tc>
          <w:tcPr>
            <w:tcW w:w="3116" w:type="dxa"/>
            <w:tcBorders>
              <w:bottom w:val="single" w:color="auto" w:sz="4" w:space="0"/>
            </w:tcBorders>
            <w:noWrap w:val="0"/>
            <w:vAlign w:val="center"/>
          </w:tcPr>
          <w:p w14:paraId="334A408A">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tcBorders>
              <w:bottom w:val="single" w:color="auto" w:sz="4" w:space="0"/>
            </w:tcBorders>
            <w:noWrap w:val="0"/>
            <w:vAlign w:val="center"/>
          </w:tcPr>
          <w:p w14:paraId="08B3D2F3">
            <w:pPr>
              <w:spacing w:line="400" w:lineRule="exact"/>
              <w:jc w:val="center"/>
              <w:rPr>
                <w:rFonts w:hint="eastAsia" w:ascii="宋体" w:hAnsi="宋体" w:eastAsia="宋体" w:cs="宋体"/>
                <w:color w:val="auto"/>
                <w:sz w:val="24"/>
                <w:szCs w:val="24"/>
              </w:rPr>
            </w:pPr>
          </w:p>
        </w:tc>
        <w:tc>
          <w:tcPr>
            <w:tcW w:w="1574" w:type="dxa"/>
            <w:vMerge w:val="continue"/>
            <w:tcBorders>
              <w:bottom w:val="single" w:color="auto" w:sz="4" w:space="0"/>
            </w:tcBorders>
            <w:noWrap w:val="0"/>
            <w:vAlign w:val="center"/>
          </w:tcPr>
          <w:p w14:paraId="77019C85">
            <w:pPr>
              <w:spacing w:line="400" w:lineRule="exact"/>
              <w:jc w:val="center"/>
              <w:rPr>
                <w:rFonts w:hint="eastAsia" w:ascii="宋体" w:hAnsi="宋体" w:eastAsia="宋体" w:cs="宋体"/>
                <w:color w:val="auto"/>
                <w:sz w:val="24"/>
                <w:szCs w:val="24"/>
              </w:rPr>
            </w:pPr>
          </w:p>
        </w:tc>
      </w:tr>
      <w:tr w14:paraId="1F16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restart"/>
            <w:tcBorders>
              <w:top w:val="single" w:color="auto" w:sz="4" w:space="0"/>
              <w:left w:val="single" w:color="auto" w:sz="4" w:space="0"/>
              <w:bottom w:val="single" w:color="auto" w:sz="4" w:space="0"/>
              <w:right w:val="single" w:color="auto" w:sz="4" w:space="0"/>
            </w:tcBorders>
            <w:noWrap w:val="0"/>
            <w:vAlign w:val="center"/>
          </w:tcPr>
          <w:p w14:paraId="6B2A225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26" w:type="dxa"/>
            <w:vMerge w:val="restart"/>
            <w:tcBorders>
              <w:top w:val="single" w:color="auto" w:sz="4" w:space="0"/>
              <w:left w:val="single" w:color="auto" w:sz="4" w:space="0"/>
              <w:bottom w:val="single" w:color="auto" w:sz="4" w:space="0"/>
              <w:right w:val="single" w:color="auto" w:sz="4" w:space="0"/>
            </w:tcBorders>
            <w:noWrap w:val="0"/>
            <w:vAlign w:val="center"/>
          </w:tcPr>
          <w:p w14:paraId="1924CAA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突发事件处理措施</w:t>
            </w:r>
          </w:p>
        </w:tc>
        <w:tc>
          <w:tcPr>
            <w:tcW w:w="3116" w:type="dxa"/>
            <w:tcBorders>
              <w:top w:val="single" w:color="auto" w:sz="4" w:space="0"/>
              <w:left w:val="single" w:color="auto" w:sz="4" w:space="0"/>
              <w:bottom w:val="single" w:color="auto" w:sz="4" w:space="0"/>
              <w:right w:val="single" w:color="auto" w:sz="4" w:space="0"/>
            </w:tcBorders>
            <w:noWrap w:val="0"/>
            <w:vAlign w:val="center"/>
          </w:tcPr>
          <w:p w14:paraId="0C91AF8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满意，10分</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16A2A56C">
            <w:pPr>
              <w:spacing w:line="400" w:lineRule="exact"/>
              <w:jc w:val="center"/>
              <w:rPr>
                <w:rFonts w:hint="eastAsia" w:ascii="宋体" w:hAnsi="宋体" w:eastAsia="宋体" w:cs="宋体"/>
                <w:color w:val="auto"/>
                <w:sz w:val="24"/>
                <w:szCs w:val="24"/>
              </w:rPr>
            </w:pPr>
          </w:p>
        </w:tc>
        <w:tc>
          <w:tcPr>
            <w:tcW w:w="1574" w:type="dxa"/>
            <w:vMerge w:val="restart"/>
            <w:tcBorders>
              <w:top w:val="single" w:color="auto" w:sz="4" w:space="0"/>
              <w:left w:val="single" w:color="auto" w:sz="4" w:space="0"/>
              <w:bottom w:val="single" w:color="auto" w:sz="4" w:space="0"/>
              <w:right w:val="single" w:color="auto" w:sz="4" w:space="0"/>
            </w:tcBorders>
            <w:noWrap w:val="0"/>
            <w:vAlign w:val="center"/>
          </w:tcPr>
          <w:p w14:paraId="425D238E">
            <w:pPr>
              <w:spacing w:line="400" w:lineRule="exact"/>
              <w:jc w:val="center"/>
              <w:rPr>
                <w:rFonts w:hint="eastAsia" w:ascii="宋体" w:hAnsi="宋体" w:eastAsia="宋体" w:cs="宋体"/>
                <w:color w:val="auto"/>
                <w:sz w:val="24"/>
                <w:szCs w:val="24"/>
              </w:rPr>
            </w:pPr>
          </w:p>
        </w:tc>
      </w:tr>
      <w:tr w14:paraId="62C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24912641">
            <w:pPr>
              <w:spacing w:line="400" w:lineRule="exact"/>
              <w:jc w:val="center"/>
              <w:rPr>
                <w:rFonts w:hint="eastAsia" w:ascii="宋体" w:hAnsi="宋体" w:eastAsia="宋体" w:cs="宋体"/>
                <w:color w:val="auto"/>
                <w:sz w:val="24"/>
                <w:szCs w:val="24"/>
              </w:rPr>
            </w:pPr>
          </w:p>
        </w:tc>
        <w:tc>
          <w:tcPr>
            <w:tcW w:w="2326" w:type="dxa"/>
            <w:vMerge w:val="continue"/>
            <w:tcBorders>
              <w:top w:val="single" w:color="auto" w:sz="4" w:space="0"/>
              <w:left w:val="single" w:color="auto" w:sz="4" w:space="0"/>
              <w:bottom w:val="single" w:color="auto" w:sz="4" w:space="0"/>
              <w:right w:val="single" w:color="auto" w:sz="4" w:space="0"/>
            </w:tcBorders>
            <w:noWrap w:val="0"/>
            <w:vAlign w:val="center"/>
          </w:tcPr>
          <w:p w14:paraId="505E319C">
            <w:pPr>
              <w:spacing w:line="400" w:lineRule="exact"/>
              <w:jc w:val="center"/>
              <w:rPr>
                <w:rFonts w:hint="eastAsia" w:ascii="宋体" w:hAnsi="宋体" w:eastAsia="宋体" w:cs="宋体"/>
                <w:color w:val="auto"/>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center"/>
          </w:tcPr>
          <w:p w14:paraId="1ADEE39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一般，7分</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5CC1B18">
            <w:pPr>
              <w:spacing w:line="400" w:lineRule="exact"/>
              <w:jc w:val="center"/>
              <w:rPr>
                <w:rFonts w:hint="eastAsia" w:ascii="宋体" w:hAnsi="宋体" w:eastAsia="宋体" w:cs="宋体"/>
                <w:color w:val="auto"/>
                <w:sz w:val="24"/>
                <w:szCs w:val="24"/>
              </w:rPr>
            </w:pPr>
          </w:p>
        </w:tc>
        <w:tc>
          <w:tcPr>
            <w:tcW w:w="1574" w:type="dxa"/>
            <w:vMerge w:val="continue"/>
            <w:tcBorders>
              <w:top w:val="single" w:color="auto" w:sz="4" w:space="0"/>
              <w:left w:val="single" w:color="auto" w:sz="4" w:space="0"/>
              <w:bottom w:val="single" w:color="auto" w:sz="4" w:space="0"/>
              <w:right w:val="single" w:color="auto" w:sz="4" w:space="0"/>
            </w:tcBorders>
            <w:noWrap w:val="0"/>
            <w:vAlign w:val="center"/>
          </w:tcPr>
          <w:p w14:paraId="51429B1C">
            <w:pPr>
              <w:spacing w:line="400" w:lineRule="exact"/>
              <w:jc w:val="center"/>
              <w:rPr>
                <w:rFonts w:hint="eastAsia" w:ascii="宋体" w:hAnsi="宋体" w:eastAsia="宋体" w:cs="宋体"/>
                <w:color w:val="auto"/>
                <w:sz w:val="24"/>
                <w:szCs w:val="24"/>
              </w:rPr>
            </w:pPr>
          </w:p>
        </w:tc>
      </w:tr>
      <w:tr w14:paraId="74CE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2EDB7E1F">
            <w:pPr>
              <w:spacing w:line="400" w:lineRule="exact"/>
              <w:jc w:val="center"/>
              <w:rPr>
                <w:rFonts w:hint="eastAsia" w:ascii="宋体" w:hAnsi="宋体" w:eastAsia="宋体" w:cs="宋体"/>
                <w:color w:val="auto"/>
                <w:sz w:val="24"/>
                <w:szCs w:val="24"/>
              </w:rPr>
            </w:pPr>
          </w:p>
        </w:tc>
        <w:tc>
          <w:tcPr>
            <w:tcW w:w="2326" w:type="dxa"/>
            <w:vMerge w:val="continue"/>
            <w:tcBorders>
              <w:top w:val="single" w:color="auto" w:sz="4" w:space="0"/>
              <w:left w:val="single" w:color="auto" w:sz="4" w:space="0"/>
              <w:bottom w:val="single" w:color="auto" w:sz="4" w:space="0"/>
              <w:right w:val="single" w:color="auto" w:sz="4" w:space="0"/>
            </w:tcBorders>
            <w:noWrap w:val="0"/>
            <w:vAlign w:val="center"/>
          </w:tcPr>
          <w:p w14:paraId="754C4834">
            <w:pPr>
              <w:spacing w:line="400" w:lineRule="exact"/>
              <w:jc w:val="center"/>
              <w:rPr>
                <w:rFonts w:hint="eastAsia" w:ascii="宋体" w:hAnsi="宋体" w:eastAsia="宋体" w:cs="宋体"/>
                <w:color w:val="auto"/>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center"/>
          </w:tcPr>
          <w:p w14:paraId="4E6E73A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不满意，2分</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5C30D61">
            <w:pPr>
              <w:spacing w:line="400" w:lineRule="exact"/>
              <w:jc w:val="center"/>
              <w:rPr>
                <w:rFonts w:hint="eastAsia" w:ascii="宋体" w:hAnsi="宋体" w:eastAsia="宋体" w:cs="宋体"/>
                <w:color w:val="auto"/>
                <w:sz w:val="24"/>
                <w:szCs w:val="24"/>
              </w:rPr>
            </w:pPr>
          </w:p>
        </w:tc>
        <w:tc>
          <w:tcPr>
            <w:tcW w:w="1574" w:type="dxa"/>
            <w:vMerge w:val="continue"/>
            <w:tcBorders>
              <w:top w:val="single" w:color="auto" w:sz="4" w:space="0"/>
              <w:left w:val="single" w:color="auto" w:sz="4" w:space="0"/>
              <w:bottom w:val="single" w:color="auto" w:sz="4" w:space="0"/>
              <w:right w:val="single" w:color="auto" w:sz="4" w:space="0"/>
            </w:tcBorders>
            <w:noWrap w:val="0"/>
            <w:vAlign w:val="center"/>
          </w:tcPr>
          <w:p w14:paraId="4054EA0F">
            <w:pPr>
              <w:spacing w:line="400" w:lineRule="exact"/>
              <w:jc w:val="center"/>
              <w:rPr>
                <w:rFonts w:hint="eastAsia" w:ascii="宋体" w:hAnsi="宋体" w:eastAsia="宋体" w:cs="宋体"/>
                <w:color w:val="auto"/>
                <w:sz w:val="24"/>
                <w:szCs w:val="24"/>
              </w:rPr>
            </w:pPr>
          </w:p>
        </w:tc>
      </w:tr>
      <w:tr w14:paraId="7C5D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8" w:type="dxa"/>
            <w:gridSpan w:val="5"/>
            <w:tcBorders>
              <w:top w:val="single" w:color="auto" w:sz="4" w:space="0"/>
            </w:tcBorders>
            <w:noWrap w:val="0"/>
            <w:vAlign w:val="center"/>
          </w:tcPr>
          <w:p w14:paraId="63D753E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评价部门：</w:t>
            </w:r>
          </w:p>
        </w:tc>
      </w:tr>
      <w:tr w14:paraId="4F0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8" w:type="dxa"/>
            <w:gridSpan w:val="5"/>
            <w:noWrap w:val="0"/>
            <w:vAlign w:val="center"/>
          </w:tcPr>
          <w:p w14:paraId="1FCB85E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评价人员签字：                日期：      年   月   日</w:t>
            </w:r>
          </w:p>
        </w:tc>
      </w:tr>
    </w:tbl>
    <w:p w14:paraId="75F45658">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设备包装、运输</w:t>
      </w:r>
    </w:p>
    <w:p w14:paraId="77598C96">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13.1包装和运输</w:t>
      </w:r>
    </w:p>
    <w:p w14:paraId="4C9FDBF2">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乙方应采取相应措施对货物进行包装，确保货物在正常作业和装卸条件下安全无损地到达甲方指定地点。如乙方所送货物存在分量不足、瓶身残旧污损、瓶身检测过期等不符合甲方验收标准的现象，甲方有权要求乙方退货，及时更换新产品送达甲方指定地点。</w:t>
      </w:r>
    </w:p>
    <w:p w14:paraId="0C39F6D4">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13.2运输资质要求</w:t>
      </w:r>
    </w:p>
    <w:p w14:paraId="3C860686">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（1）乙方须持有在有效期内的《道路运输经营许可证》，且经营范围须包含危险货物运输。</w:t>
      </w:r>
    </w:p>
    <w:p w14:paraId="3BE2F936">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（2）乙方送货人员须持有在有效期内的《道路运输从业人员从业资格证》，且从业资格类别须为“道路危险货物运输押运人员”。</w:t>
      </w:r>
    </w:p>
    <w:p w14:paraId="44B2B8B4">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13.3运输过程中发生的一切安全责任及费用由乙方承担，乙方不得另行收取运输费。</w:t>
      </w:r>
    </w:p>
    <w:p w14:paraId="47ABB7B3">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验收要求</w:t>
      </w:r>
    </w:p>
    <w:p w14:paraId="4F7B40B4">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14.1设备的验收</w:t>
      </w:r>
    </w:p>
    <w:p w14:paraId="061FA6FD">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（1）乙方所提供的货物必须符合中华人民共和国国家安全环保标准、国家有关产品质量认证标准。</w:t>
      </w:r>
    </w:p>
    <w:p w14:paraId="10D63B50">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（2）乙方在发货前，对货物的外观质量 、规格、数量等进行准确和全面的检验。</w:t>
      </w:r>
    </w:p>
    <w:p w14:paraId="284201AC">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（3）验收应在甲方和乙方双方共同参加下进行。</w:t>
      </w:r>
    </w:p>
    <w:p w14:paraId="4742B13D">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（4）甲方将不定期对货物进行检验。检验按国家有关规定进行，并记录检验情况。对检验不合格的货物，甲方有权拒收，而乙方则必须在48小时内提供符合要求的货物，并且承担由此产生的一切费用。</w:t>
      </w:r>
    </w:p>
    <w:p w14:paraId="251E2540">
      <w:pPr>
        <w:spacing w:line="360" w:lineRule="auto"/>
        <w:ind w:left="1205" w:hanging="1205" w:hangingChars="5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、质量期及售后服务</w:t>
      </w:r>
    </w:p>
    <w:p w14:paraId="48FA8BF2">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highlight w:val="none"/>
          <w:lang w:val="en-US" w:eastAsia="zh-CN"/>
        </w:rPr>
        <w:t>15.1质保期：自每批次交货之日起3个月，</w:t>
      </w:r>
      <w:r>
        <w:rPr>
          <w:rFonts w:hint="eastAsia" w:ascii="宋体" w:hAnsi="宋体" w:eastAsia="宋体" w:cs="宋体"/>
          <w:color w:val="auto"/>
          <w:kern w:val="2"/>
          <w:sz w:val="24"/>
          <w:szCs w:val="24"/>
          <w:lang w:val="en-US" w:eastAsia="zh-CN"/>
        </w:rPr>
        <w:t>质保期内如因货物本身质量问题，乙方无条件更换。</w:t>
      </w:r>
    </w:p>
    <w:p w14:paraId="1F9496D9">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15.2技术指导与培训：乙方负责对甲方工作人员进行气体应用技术指导及相关医用气体安全使用等方面的培训工作，确保人员使用安全、规范。此项服务无偿提供。</w:t>
      </w:r>
    </w:p>
    <w:p w14:paraId="78EE9D6E">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15.3设备维护与巡查：乙方应根据甲方实际情况，不定期对甲方供气设备及管道进行维护、检查。当甲方有紧急维护、维修需求时，乙方在收到通知后1小时内响应、2小时内到达现场。</w:t>
      </w:r>
    </w:p>
    <w:p w14:paraId="65A65975">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15.4应急响应：乙方须制定应急方案。产品出现质量问题或气瓶漏气等情形，须在收到甲方通知后12小时内完成更换或修复。气体质量出现问题应立即响应并启动应急处置预案，未做及时处理及补救措施的，乙方承担全部责任。逾期未更换的，甲方有权拒绝支付该批次货物的相应货款。</w:t>
      </w:r>
    </w:p>
    <w:p w14:paraId="5C360EA5">
      <w:pPr>
        <w:pStyle w:val="6"/>
        <w:spacing w:after="0"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15.5面对春节及高考、暴雨天气等异常情况，乙方应提前做好氧气供应应急预案，同时与甲方总务科及药剂科紧密联系，确保医用氧气及时供应，签订合同需经总务科确认后，提供总务科，药剂科等三方存档。</w:t>
      </w:r>
    </w:p>
    <w:p w14:paraId="0A17B389">
      <w:pPr>
        <w:pStyle w:val="11"/>
        <w:spacing w:after="0" w:afterLines="0"/>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eastAsia="宋体" w:cs="宋体"/>
          <w:b/>
          <w:color w:val="auto"/>
          <w:sz w:val="24"/>
          <w:szCs w:val="24"/>
          <w:lang w:val="en-US" w:eastAsia="zh-CN"/>
        </w:rPr>
        <w:t>六</w:t>
      </w:r>
      <w:r>
        <w:rPr>
          <w:rFonts w:hint="eastAsia" w:ascii="宋体" w:hAnsi="宋体" w:eastAsia="宋体" w:cs="宋体"/>
          <w:b/>
          <w:color w:val="auto"/>
          <w:sz w:val="24"/>
          <w:szCs w:val="24"/>
        </w:rPr>
        <w:t>、不可抗力</w:t>
      </w:r>
    </w:p>
    <w:p w14:paraId="5F9845F9">
      <w:pPr>
        <w:pStyle w:val="11"/>
        <w:spacing w:after="0" w:afterLines="0"/>
        <w:ind w:firstLine="0" w:firstLineChars="0"/>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eastAsia="宋体" w:cs="宋体"/>
          <w:color w:val="auto"/>
          <w:sz w:val="24"/>
          <w:szCs w:val="24"/>
          <w:lang w:val="en-US" w:eastAsia="zh-CN"/>
        </w:rPr>
        <w:t>6</w:t>
      </w:r>
      <w:r>
        <w:rPr>
          <w:rFonts w:hint="eastAsia" w:ascii="宋体" w:hAnsi="宋体" w:eastAsia="宋体" w:cs="宋体"/>
          <w:color w:val="auto"/>
          <w:sz w:val="24"/>
          <w:szCs w:val="24"/>
        </w:rPr>
        <w:t>.1不可抗力指战争、严重火灾、洪水、台风、地震等或其它双方认定的不可抗力事件。</w:t>
      </w:r>
    </w:p>
    <w:p w14:paraId="18940694">
      <w:pPr>
        <w:pStyle w:val="9"/>
        <w:spacing w:after="0" w:line="360" w:lineRule="auto"/>
        <w:ind w:left="0"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2签约双方中任何一方由于不可抗力影响合同执行时，发生不可抗力一方应尽快将事故通知另一方。在此情况下，乙方仍然有责任采取必要的措施加速供货，双方应通过友好协商尽快解决本合同的执行问题。如无法履行该合同的，经甲乙双方书面同意后终止该合同，均无须承担违约责任。</w:t>
      </w:r>
    </w:p>
    <w:p w14:paraId="1FE7F848">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、索赔</w:t>
      </w:r>
    </w:p>
    <w:p w14:paraId="2B1D730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 如对货物质量有异议，甲方有权根据有关政府部门的检验结果向乙方提出索赔。</w:t>
      </w:r>
    </w:p>
    <w:p w14:paraId="22F9B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.2在合同执行期间，如果乙方对甲方提出的索赔和差异负有责任，乙方应按照甲方同意的下列一种或多种方式解决索赔事宜：</w:t>
      </w:r>
    </w:p>
    <w:p w14:paraId="45C81E4E">
      <w:pPr>
        <w:tabs>
          <w:tab w:val="left" w:pos="168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（1）乙方接受退货，并按合同规定的同种货币将货款退还给甲方，并承担由此发生的一切损失和费用。</w:t>
      </w:r>
    </w:p>
    <w:p w14:paraId="31C4D240">
      <w:pPr>
        <w:tabs>
          <w:tab w:val="left" w:pos="168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（2）根据货物低劣程度、损坏程度以及甲方所遭受损失的数额降低货物的价格。</w:t>
      </w:r>
    </w:p>
    <w:p w14:paraId="21A61C0F">
      <w:pPr>
        <w:tabs>
          <w:tab w:val="left" w:pos="168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（3）用符合规格、质量和性能要求的新零件、部件或货物来更换有缺陷的部分或修补缺陷的部分，乙方应承担一切费用和风险并负担甲方所发生的一切直接费用。</w:t>
      </w:r>
    </w:p>
    <w:p w14:paraId="0B682739">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.3如果在甲方发出索赔通知后30天内，乙方未作书面答复，上述索赔应视为已被乙方接受。甲方将从合同款项中扣回索赔金额。如果这些金额不足以补偿索赔金额，甲方有权向乙方提出不足部分的补偿。</w:t>
      </w:r>
    </w:p>
    <w:p w14:paraId="4EF73ADF">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、违约责任</w:t>
      </w:r>
    </w:p>
    <w:p w14:paraId="1B70B1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.1甲方应依合同规定时间内，向乙方支付货款，每拖延一天乙方可向甲方加收合同金额的3‰的违约金。</w:t>
      </w:r>
    </w:p>
    <w:p w14:paraId="1793E7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.2乙方未能按时交货，每拖延1天，须向甲方支付合同金额的3‰的违约金。累计逾期交货15天以上（含15天）的，甲方可以解除合同并要求乙方赔偿因此所造成的经济损失或要求乙方继续按合同提供货物。</w:t>
      </w:r>
    </w:p>
    <w:p w14:paraId="6C9074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.3乙方交付的货物不符合合同规定的，甲方有权拒收，乙方向甲方支付合同金额的5%的违约金。</w:t>
      </w:r>
    </w:p>
    <w:p w14:paraId="618EF5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.4甲方无正当理由拒收货物的，甲方向乙方支付合同金额的5%的违约金。</w:t>
      </w:r>
    </w:p>
    <w:p w14:paraId="79077D2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.5乙方未能交付货物，则向甲方支付合同金额的5%的违约金。</w:t>
      </w:r>
    </w:p>
    <w:p w14:paraId="190EE128">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.6本合同履行期内，任何一方无正当理由或由于自身原因提前解除合同的，视为违约。违约方须向守约方支付合同金额5%的违约金，并承担守约方由此产生所有损失的赔偿责任。</w:t>
      </w:r>
    </w:p>
    <w:p w14:paraId="4D70D261">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bCs w:val="0"/>
          <w:color w:val="auto"/>
          <w:sz w:val="24"/>
          <w:szCs w:val="24"/>
          <w:lang w:val="en-US" w:eastAsia="zh-CN"/>
        </w:rPr>
        <w:t>十九、安全责任</w:t>
      </w:r>
    </w:p>
    <w:p w14:paraId="1426600A">
      <w:pPr>
        <w:spacing w:line="540" w:lineRule="exact"/>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19.1</w:t>
      </w:r>
      <w:r>
        <w:rPr>
          <w:rFonts w:hint="eastAsia" w:ascii="宋体" w:hAnsi="宋体" w:eastAsia="宋体" w:cs="宋体"/>
          <w:color w:val="auto"/>
          <w:sz w:val="24"/>
          <w:szCs w:val="24"/>
        </w:rPr>
        <w:t>乙方按安全规范</w:t>
      </w:r>
      <w:r>
        <w:rPr>
          <w:rFonts w:hint="eastAsia" w:ascii="宋体" w:hAnsi="宋体" w:eastAsia="宋体" w:cs="宋体"/>
          <w:color w:val="auto"/>
          <w:sz w:val="24"/>
          <w:szCs w:val="24"/>
          <w:lang w:val="en-US" w:eastAsia="zh-CN"/>
        </w:rPr>
        <w:t>操作</w:t>
      </w:r>
      <w:r>
        <w:rPr>
          <w:rFonts w:hint="eastAsia" w:ascii="宋体" w:hAnsi="宋体" w:eastAsia="宋体" w:cs="宋体"/>
          <w:color w:val="auto"/>
          <w:sz w:val="24"/>
          <w:szCs w:val="24"/>
        </w:rPr>
        <w:t>并采取相应的预防事故的措施，以确保</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rPr>
        <w:t>安全和甲乙双方以及第三者人身、财产安全；</w:t>
      </w:r>
      <w:r>
        <w:rPr>
          <w:rFonts w:hint="eastAsia" w:ascii="宋体" w:hAnsi="宋体" w:eastAsia="宋体" w:cs="宋体"/>
          <w:color w:val="auto"/>
          <w:sz w:val="24"/>
          <w:szCs w:val="24"/>
          <w:lang w:val="en-US" w:eastAsia="zh-CN"/>
        </w:rPr>
        <w:t>配送服务全</w:t>
      </w:r>
      <w:r>
        <w:rPr>
          <w:rFonts w:hint="eastAsia" w:ascii="宋体" w:hAnsi="宋体" w:eastAsia="宋体" w:cs="宋体"/>
          <w:color w:val="auto"/>
          <w:sz w:val="24"/>
          <w:szCs w:val="24"/>
        </w:rPr>
        <w:t>程发生安全事故或其他侵权事件导致甲方、第三人人身损害、财产损害，由乙方承担责任。</w:t>
      </w:r>
    </w:p>
    <w:p w14:paraId="1F70176C">
      <w:pPr>
        <w:spacing w:line="5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19.2</w:t>
      </w: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rPr>
        <w:t>时间不能影响甲方正常工作，</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rPr>
        <w:t>人员必须遵守甲方的规章制度，听从甲方管理人员的安排并做好安全防护工作。</w:t>
      </w:r>
    </w:p>
    <w:p w14:paraId="4679B96D">
      <w:pPr>
        <w:spacing w:line="5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19.3</w:t>
      </w:r>
      <w:r>
        <w:rPr>
          <w:rFonts w:hint="eastAsia" w:ascii="宋体" w:hAnsi="宋体" w:eastAsia="宋体" w:cs="宋体"/>
          <w:color w:val="auto"/>
          <w:sz w:val="24"/>
          <w:szCs w:val="24"/>
        </w:rPr>
        <w:t>乙方在</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rPr>
        <w:t>期间应严格遵守《中华人民共和国消防条例》和其他相关的法规、规范。</w:t>
      </w:r>
    </w:p>
    <w:p w14:paraId="6B348D9A">
      <w:pPr>
        <w:spacing w:line="5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19.4</w:t>
      </w:r>
      <w:r>
        <w:rPr>
          <w:rFonts w:hint="eastAsia" w:ascii="宋体" w:hAnsi="宋体" w:eastAsia="宋体" w:cs="宋体"/>
          <w:color w:val="auto"/>
          <w:sz w:val="24"/>
          <w:szCs w:val="24"/>
        </w:rPr>
        <w:t>由于乙方在</w:t>
      </w:r>
      <w:r>
        <w:rPr>
          <w:rFonts w:hint="eastAsia" w:ascii="宋体" w:hAnsi="宋体" w:eastAsia="宋体" w:cs="宋体"/>
          <w:color w:val="auto"/>
          <w:sz w:val="24"/>
          <w:szCs w:val="24"/>
          <w:lang w:val="en-US" w:eastAsia="zh-CN"/>
        </w:rPr>
        <w:t>配送服务</w:t>
      </w:r>
      <w:r>
        <w:rPr>
          <w:rFonts w:hint="eastAsia" w:ascii="宋体" w:hAnsi="宋体" w:eastAsia="宋体" w:cs="宋体"/>
          <w:color w:val="auto"/>
          <w:sz w:val="24"/>
          <w:szCs w:val="24"/>
        </w:rPr>
        <w:t>过程中违反有关安全操作规程和消防条例，导致发生安全事故，乙方应承担由此引发的一切法律责任。</w:t>
      </w:r>
    </w:p>
    <w:p w14:paraId="273C94F4">
      <w:pPr>
        <w:tabs>
          <w:tab w:val="left" w:pos="4032"/>
        </w:tabs>
        <w:spacing w:before="0" w:after="0" w:line="540" w:lineRule="exact"/>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rPr>
        <w:t>19.5</w:t>
      </w:r>
      <w:r>
        <w:rPr>
          <w:rFonts w:hint="eastAsia" w:ascii="宋体" w:hAnsi="宋体" w:eastAsia="宋体" w:cs="宋体"/>
          <w:b w:val="0"/>
          <w:bCs w:val="0"/>
          <w:color w:val="auto"/>
          <w:kern w:val="2"/>
          <w:sz w:val="24"/>
          <w:szCs w:val="24"/>
        </w:rPr>
        <w:t>甲方应根据需要，协助承担保卫工作，预防</w:t>
      </w:r>
      <w:r>
        <w:rPr>
          <w:rFonts w:hint="eastAsia" w:ascii="宋体" w:hAnsi="宋体" w:eastAsia="宋体" w:cs="宋体"/>
          <w:b w:val="0"/>
          <w:bCs w:val="0"/>
          <w:color w:val="auto"/>
          <w:kern w:val="2"/>
          <w:sz w:val="24"/>
          <w:szCs w:val="24"/>
          <w:lang w:val="en-US" w:eastAsia="zh-CN"/>
        </w:rPr>
        <w:t>配送服务</w:t>
      </w:r>
      <w:r>
        <w:rPr>
          <w:rFonts w:hint="eastAsia" w:ascii="宋体" w:hAnsi="宋体" w:eastAsia="宋体" w:cs="宋体"/>
          <w:b w:val="0"/>
          <w:bCs w:val="0"/>
          <w:color w:val="auto"/>
          <w:kern w:val="2"/>
          <w:sz w:val="24"/>
          <w:szCs w:val="24"/>
        </w:rPr>
        <w:t>中发生的盗窃、破坏及其他安全事故，如因乙方管理及人员自身的责任造成的损失由乙方自行承担。</w:t>
      </w:r>
    </w:p>
    <w:p w14:paraId="7E1139A8">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二十、</w:t>
      </w:r>
      <w:r>
        <w:rPr>
          <w:rFonts w:hint="eastAsia" w:ascii="宋体" w:hAnsi="宋体" w:eastAsia="宋体" w:cs="宋体"/>
          <w:b/>
          <w:color w:val="auto"/>
          <w:sz w:val="24"/>
          <w:szCs w:val="24"/>
        </w:rPr>
        <w:t>合同终止</w:t>
      </w:r>
    </w:p>
    <w:p w14:paraId="29E8CED9">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如果一方严重违反合同，并在收到对方违约通知书后在</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天内仍未能改正，未违约的另一方可立即终止本合同。</w:t>
      </w:r>
    </w:p>
    <w:p w14:paraId="0C84E2C1">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、争议解决</w:t>
      </w:r>
    </w:p>
    <w:p w14:paraId="1645669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约双方在履约中发生争执和分歧，双方应通过友好协商解决，若经协商不能达成协议时，则向甲方所在地有管辖权的人民法院提起诉讼。受理期间，争议部分不影响合同其他部分履行的，双方应继续执行合同其余部分。</w:t>
      </w:r>
    </w:p>
    <w:p w14:paraId="705313B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二十</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、其他</w:t>
      </w:r>
    </w:p>
    <w:p w14:paraId="3BE285E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.1本合同正本及附件共一式</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份，具有同等法律效力，甲方</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份。合同自</w:t>
      </w:r>
      <w:r>
        <w:rPr>
          <w:rFonts w:hint="eastAsia" w:ascii="宋体" w:hAnsi="宋体" w:eastAsia="宋体" w:cs="宋体"/>
          <w:color w:val="auto"/>
          <w:sz w:val="24"/>
          <w:szCs w:val="24"/>
          <w:lang w:val="en-US" w:eastAsia="zh-CN"/>
        </w:rPr>
        <w:t>乙方接到医务部书面通知</w:t>
      </w:r>
      <w:r>
        <w:rPr>
          <w:rFonts w:hint="eastAsia" w:ascii="宋体" w:hAnsi="宋体" w:eastAsia="宋体" w:cs="宋体"/>
          <w:color w:val="auto"/>
          <w:sz w:val="24"/>
          <w:szCs w:val="24"/>
        </w:rPr>
        <w:t>之日起生效。</w:t>
      </w:r>
    </w:p>
    <w:p w14:paraId="758108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.2本合同未尽事宜，由双方协商处理。如有必要，可另行签订补充协议，与本合同具有同等法律效力。</w:t>
      </w:r>
    </w:p>
    <w:p w14:paraId="54BAB852">
      <w:pPr>
        <w:pStyle w:val="2"/>
        <w:rPr>
          <w:rFonts w:hint="eastAsia" w:eastAsia="宋体"/>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79"/>
        <w:gridCol w:w="3904"/>
        <w:gridCol w:w="236"/>
      </w:tblGrid>
      <w:tr w14:paraId="4A9EC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4179" w:type="dxa"/>
            <w:tcBorders>
              <w:top w:val="nil"/>
              <w:left w:val="nil"/>
              <w:bottom w:val="nil"/>
              <w:right w:val="dashed" w:color="000000" w:sz="4" w:space="0"/>
            </w:tcBorders>
            <w:noWrap w:val="0"/>
            <w:vAlign w:val="top"/>
          </w:tcPr>
          <w:p w14:paraId="1DE3E1D4">
            <w:pPr>
              <w:rPr>
                <w:rFonts w:hint="eastAsia" w:ascii="宋体" w:hAnsi="宋体" w:eastAsia="宋体" w:cs="宋体"/>
                <w:color w:val="auto"/>
                <w:sz w:val="24"/>
                <w:szCs w:val="24"/>
              </w:rPr>
            </w:pPr>
            <w:r>
              <w:rPr>
                <w:rFonts w:hint="eastAsia" w:ascii="宋体" w:hAnsi="宋体" w:eastAsia="宋体" w:cs="宋体"/>
                <w:b/>
                <w:color w:val="auto"/>
                <w:sz w:val="24"/>
                <w:szCs w:val="24"/>
              </w:rPr>
              <w:t>甲方（盖章）：</w:t>
            </w:r>
          </w:p>
          <w:p w14:paraId="47ADB7E9">
            <w:pPr>
              <w:rPr>
                <w:rFonts w:hint="eastAsia" w:ascii="宋体" w:hAnsi="宋体" w:eastAsia="宋体" w:cs="宋体"/>
                <w:color w:val="auto"/>
                <w:sz w:val="24"/>
                <w:szCs w:val="24"/>
              </w:rPr>
            </w:pPr>
            <w:r>
              <w:rPr>
                <w:rFonts w:hint="eastAsia" w:ascii="宋体" w:hAnsi="宋体" w:eastAsia="宋体" w:cs="宋体"/>
                <w:color w:val="auto"/>
                <w:sz w:val="24"/>
                <w:szCs w:val="24"/>
              </w:rPr>
              <w:t>代表：</w:t>
            </w:r>
          </w:p>
          <w:p w14:paraId="2B9A0C8E">
            <w:pPr>
              <w:rPr>
                <w:rFonts w:hint="eastAsia" w:ascii="宋体" w:hAnsi="宋体" w:eastAsia="宋体" w:cs="宋体"/>
                <w:color w:val="auto"/>
                <w:sz w:val="24"/>
                <w:szCs w:val="24"/>
              </w:rPr>
            </w:pPr>
          </w:p>
          <w:p w14:paraId="006A23D8">
            <w:pPr>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35DC28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广州市海珠区新港西路114号</w:t>
            </w:r>
          </w:p>
          <w:p w14:paraId="661FF20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84187600-2609</w:t>
            </w:r>
          </w:p>
          <w:p w14:paraId="077E324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传真：</w:t>
            </w:r>
            <w:r>
              <w:rPr>
                <w:rFonts w:hint="eastAsia" w:ascii="宋体" w:hAnsi="宋体" w:eastAsia="宋体" w:cs="宋体"/>
                <w:color w:val="auto"/>
                <w:sz w:val="24"/>
                <w:szCs w:val="24"/>
                <w:lang w:val="en-US" w:eastAsia="zh-CN"/>
              </w:rPr>
              <w:t>/</w:t>
            </w:r>
          </w:p>
          <w:p w14:paraId="5F9C66E9">
            <w:pPr>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   日</w:t>
            </w:r>
          </w:p>
        </w:tc>
        <w:tc>
          <w:tcPr>
            <w:tcW w:w="3904" w:type="dxa"/>
            <w:tcBorders>
              <w:top w:val="nil"/>
              <w:left w:val="nil"/>
              <w:bottom w:val="nil"/>
              <w:right w:val="nil"/>
            </w:tcBorders>
            <w:noWrap w:val="0"/>
            <w:vAlign w:val="top"/>
          </w:tcPr>
          <w:p w14:paraId="4C4E0578">
            <w:pPr>
              <w:rPr>
                <w:rFonts w:hint="eastAsia" w:ascii="宋体" w:hAnsi="宋体" w:eastAsia="宋体" w:cs="宋体"/>
                <w:color w:val="auto"/>
                <w:sz w:val="24"/>
                <w:szCs w:val="24"/>
              </w:rPr>
            </w:pPr>
            <w:r>
              <w:rPr>
                <w:rFonts w:hint="eastAsia" w:ascii="宋体" w:hAnsi="宋体" w:eastAsia="宋体" w:cs="宋体"/>
                <w:b/>
                <w:color w:val="auto"/>
                <w:sz w:val="24"/>
                <w:szCs w:val="24"/>
              </w:rPr>
              <w:t>乙方（盖章）：</w:t>
            </w:r>
          </w:p>
          <w:p w14:paraId="54DC6919">
            <w:pPr>
              <w:rPr>
                <w:rFonts w:hint="eastAsia" w:ascii="宋体" w:hAnsi="宋体" w:eastAsia="宋体" w:cs="宋体"/>
                <w:color w:val="auto"/>
                <w:sz w:val="24"/>
                <w:szCs w:val="24"/>
              </w:rPr>
            </w:pPr>
            <w:r>
              <w:rPr>
                <w:rFonts w:hint="eastAsia" w:ascii="宋体" w:hAnsi="宋体" w:eastAsia="宋体" w:cs="宋体"/>
                <w:color w:val="auto"/>
                <w:sz w:val="24"/>
                <w:szCs w:val="24"/>
              </w:rPr>
              <w:t>代表：</w:t>
            </w:r>
          </w:p>
          <w:p w14:paraId="47423CDC">
            <w:pPr>
              <w:rPr>
                <w:rFonts w:hint="eastAsia" w:ascii="宋体" w:hAnsi="宋体" w:eastAsia="宋体" w:cs="宋体"/>
                <w:color w:val="auto"/>
                <w:sz w:val="24"/>
                <w:szCs w:val="24"/>
              </w:rPr>
            </w:pPr>
          </w:p>
          <w:p w14:paraId="1A9226CF">
            <w:pPr>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p>
          <w:p w14:paraId="3E5355C0">
            <w:pPr>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14D5487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电话：</w:t>
            </w:r>
          </w:p>
          <w:p w14:paraId="21253990">
            <w:pPr>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tc>
        <w:tc>
          <w:tcPr>
            <w:tcW w:w="222" w:type="dxa"/>
            <w:tcBorders>
              <w:top w:val="nil"/>
              <w:left w:val="nil"/>
              <w:bottom w:val="nil"/>
              <w:right w:val="nil"/>
            </w:tcBorders>
            <w:noWrap w:val="0"/>
            <w:vAlign w:val="top"/>
          </w:tcPr>
          <w:p w14:paraId="4C952E48">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D06F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16" w:hRule="atLeast"/>
        </w:trPr>
        <w:tc>
          <w:tcPr>
            <w:tcW w:w="4179" w:type="dxa"/>
            <w:tcBorders>
              <w:top w:val="nil"/>
              <w:left w:val="nil"/>
              <w:bottom w:val="single" w:color="FFFFFF" w:sz="4" w:space="0"/>
              <w:right w:val="dashed" w:color="000000" w:sz="4" w:space="0"/>
            </w:tcBorders>
            <w:noWrap w:val="0"/>
            <w:vAlign w:val="top"/>
          </w:tcPr>
          <w:p w14:paraId="6773F65C">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收取履约保证金方与甲方一致，专户为：      </w:t>
            </w:r>
          </w:p>
          <w:p w14:paraId="744E257D">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开户名称：广东省第一荣军优抚医院      </w:t>
            </w:r>
          </w:p>
          <w:p w14:paraId="60419540">
            <w:pPr>
              <w:rPr>
                <w:rFonts w:hint="eastAsia" w:ascii="宋体" w:hAnsi="宋体" w:eastAsia="宋体" w:cs="宋体"/>
                <w:color w:val="auto"/>
                <w:sz w:val="24"/>
                <w:szCs w:val="24"/>
              </w:rPr>
            </w:pPr>
            <w:r>
              <w:rPr>
                <w:rFonts w:hint="eastAsia" w:ascii="宋体" w:hAnsi="宋体" w:eastAsia="宋体" w:cs="宋体"/>
                <w:color w:val="auto"/>
                <w:sz w:val="24"/>
                <w:szCs w:val="24"/>
              </w:rPr>
              <w:t>银行账号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3602000309000415320         </w:t>
            </w:r>
          </w:p>
          <w:p w14:paraId="584D2DE4">
            <w:pPr>
              <w:rPr>
                <w:rFonts w:hint="eastAsia" w:ascii="宋体" w:hAnsi="宋体" w:eastAsia="宋体" w:cs="宋体"/>
                <w:color w:val="auto"/>
                <w:sz w:val="24"/>
                <w:szCs w:val="24"/>
              </w:rPr>
            </w:pPr>
            <w:r>
              <w:rPr>
                <w:rFonts w:hint="eastAsia" w:ascii="宋体" w:hAnsi="宋体" w:eastAsia="宋体" w:cs="宋体"/>
                <w:color w:val="auto"/>
                <w:sz w:val="24"/>
                <w:szCs w:val="24"/>
              </w:rPr>
              <w:t>开 户 行：工商银行广州怡乐支行</w:t>
            </w:r>
          </w:p>
          <w:p w14:paraId="08B6811E">
            <w:pPr>
              <w:rPr>
                <w:rFonts w:hint="eastAsia" w:ascii="宋体" w:hAnsi="宋体" w:eastAsia="宋体" w:cs="宋体"/>
                <w:color w:val="auto"/>
                <w:sz w:val="24"/>
                <w:szCs w:val="24"/>
              </w:rPr>
            </w:pPr>
          </w:p>
        </w:tc>
        <w:tc>
          <w:tcPr>
            <w:tcW w:w="4126" w:type="dxa"/>
            <w:gridSpan w:val="2"/>
            <w:tcBorders>
              <w:top w:val="nil"/>
              <w:left w:val="nil"/>
              <w:bottom w:val="single" w:color="FFFFFF" w:sz="4" w:space="0"/>
              <w:right w:val="nil"/>
            </w:tcBorders>
            <w:noWrap w:val="0"/>
            <w:vAlign w:val="top"/>
          </w:tcPr>
          <w:p w14:paraId="21C5F3AB">
            <w:pPr>
              <w:rPr>
                <w:rFonts w:hint="eastAsia" w:ascii="宋体" w:hAnsi="宋体" w:eastAsia="宋体" w:cs="宋体"/>
                <w:color w:val="auto"/>
                <w:sz w:val="24"/>
                <w:szCs w:val="24"/>
              </w:rPr>
            </w:pPr>
          </w:p>
          <w:p w14:paraId="69AE2FC1">
            <w:pPr>
              <w:rPr>
                <w:rFonts w:hint="eastAsia" w:ascii="宋体" w:hAnsi="宋体" w:eastAsia="宋体" w:cs="宋体"/>
                <w:color w:val="auto"/>
                <w:sz w:val="24"/>
                <w:szCs w:val="24"/>
              </w:rPr>
            </w:pPr>
            <w:r>
              <w:rPr>
                <w:rFonts w:hint="eastAsia" w:ascii="宋体" w:hAnsi="宋体" w:eastAsia="宋体" w:cs="宋体"/>
                <w:b/>
                <w:color w:val="auto"/>
                <w:sz w:val="24"/>
                <w:szCs w:val="24"/>
              </w:rPr>
              <w:t>收款方、开票方须与乙方一致，专户为：</w:t>
            </w:r>
          </w:p>
          <w:p w14:paraId="563B3146">
            <w:pP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p w14:paraId="122B6CC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银行账号：</w:t>
            </w:r>
          </w:p>
          <w:p w14:paraId="310F9D01">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 户 行：</w:t>
            </w:r>
          </w:p>
          <w:p w14:paraId="41B97FB5">
            <w:pPr>
              <w:rPr>
                <w:rFonts w:hint="eastAsia" w:ascii="宋体" w:hAnsi="宋体" w:eastAsia="宋体" w:cs="宋体"/>
                <w:color w:val="auto"/>
                <w:sz w:val="24"/>
                <w:szCs w:val="24"/>
              </w:rPr>
            </w:pPr>
          </w:p>
        </w:tc>
      </w:tr>
    </w:tbl>
    <w:p w14:paraId="6A62DD5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01889679">
      <w:pPr>
        <w:pStyle w:val="14"/>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6AAF82B3">
      <w:pPr>
        <w:pStyle w:val="14"/>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5EFDE69A">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45C54D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4E06130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50C18B4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1F363B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66CA722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3F50AB6D">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79E746DC">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1A92E4A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5D86404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508B878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44225D84">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71504EB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7F3C149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186F734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5F43626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0CBAB62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46087054">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77BE11D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4B4AD0E6">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6DA04E0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0CB932F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765F0F59">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0B52C0E7">
      <w:pPr>
        <w:rPr>
          <w:highlight w:val="none"/>
        </w:rPr>
      </w:pPr>
    </w:p>
    <w:p w14:paraId="02827211"/>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73F54"/>
    <w:rsid w:val="27832A2A"/>
    <w:rsid w:val="43D7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tabs>
        <w:tab w:val="left" w:pos="720"/>
      </w:tabs>
      <w:adjustRightInd w:val="0"/>
      <w:spacing w:line="360" w:lineRule="auto"/>
      <w:jc w:val="center"/>
      <w:textAlignment w:val="baseline"/>
      <w:outlineLvl w:val="0"/>
    </w:pPr>
    <w:rPr>
      <w:b/>
      <w:kern w:val="44"/>
      <w:sz w:val="4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toa heading"/>
    <w:basedOn w:val="1"/>
    <w:next w:val="1"/>
    <w:qFormat/>
    <w:uiPriority w:val="0"/>
    <w:pPr>
      <w:spacing w:before="120"/>
    </w:pPr>
    <w:rPr>
      <w:rFonts w:ascii="Arial" w:hAnsi="Arial" w:cs="Arial"/>
      <w:sz w:val="24"/>
    </w:rPr>
  </w:style>
  <w:style w:type="paragraph" w:styleId="5">
    <w:name w:val="annotation text"/>
    <w:basedOn w:val="1"/>
    <w:qFormat/>
    <w:uiPriority w:val="0"/>
    <w:pPr>
      <w:jc w:val="left"/>
    </w:pPr>
  </w:style>
  <w:style w:type="paragraph" w:styleId="6">
    <w:name w:val="Body Text"/>
    <w:basedOn w:val="1"/>
    <w:next w:val="7"/>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customStyle="1" w:styleId="7">
    <w:name w:val="正文_1_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Indent"/>
    <w:basedOn w:val="1"/>
    <w:unhideWhenUsed/>
    <w:qFormat/>
    <w:uiPriority w:val="0"/>
    <w:pPr>
      <w:spacing w:after="120"/>
      <w:ind w:left="420" w:leftChars="200"/>
    </w:pPr>
    <w:rPr>
      <w:kern w:val="0"/>
      <w:szCs w:val="20"/>
    </w:rPr>
  </w:style>
  <w:style w:type="paragraph" w:styleId="9">
    <w:name w:val="Body Text Indent 2"/>
    <w:basedOn w:val="1"/>
    <w:unhideWhenUsed/>
    <w:qFormat/>
    <w:uiPriority w:val="99"/>
    <w:pPr>
      <w:spacing w:after="120" w:line="480" w:lineRule="auto"/>
      <w:ind w:left="420" w:leftChars="200"/>
    </w:pPr>
    <w:rPr>
      <w:kern w:val="0"/>
      <w:szCs w:val="20"/>
    </w:rPr>
  </w:style>
  <w:style w:type="paragraph" w:styleId="10">
    <w:name w:val="footer"/>
    <w:basedOn w:val="1"/>
    <w:next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1">
    <w:name w:val="Body Text Indent 3"/>
    <w:basedOn w:val="1"/>
    <w:qFormat/>
    <w:uiPriority w:val="0"/>
    <w:pPr>
      <w:snapToGrid w:val="0"/>
      <w:spacing w:after="156" w:afterLines="50" w:line="360" w:lineRule="auto"/>
      <w:ind w:firstLine="480" w:firstLineChars="200"/>
      <w:jc w:val="left"/>
    </w:pPr>
    <w:rPr>
      <w:rFonts w:hAnsi="宋体"/>
      <w:kern w:val="0"/>
      <w:sz w:val="24"/>
      <w:szCs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章标题"/>
    <w:basedOn w:val="4"/>
    <w:qFormat/>
    <w:uiPriority w:val="0"/>
    <w:pPr>
      <w:widowControl/>
      <w:jc w:val="center"/>
    </w:pPr>
    <w:rPr>
      <w:rFonts w:ascii="宋体" w:cs="Times New Roman"/>
      <w:b/>
      <w:kern w:val="0"/>
      <w:sz w:val="32"/>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2026-07-13T08:16:00Z</dcterms:created>
  <dc:creator>卑微小虎崽</dc:creator>
  <cp:lastModifiedBy>卑微小虎崽</cp:lastModifiedBy>
  <dcterms:modified xsi:type="dcterms:W3CDTF">2026-07-13T08:17:44Z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F88722FE48794091AE17A7EBAF71EBC9_13</vt:lpwstr>
  </property>
  <property fmtid="{D5CDD505-2E9C-101B-9397-08002B2CF9AE}" pid="4" name="KSOTemplateDocerSaveRecord">
    <vt:lpwstr>eyJoZGlkIjoiMTBiZDkyZDdiNjQ3ODk4YzI4M2RmZDNmYTRiZGJiNjkiLCJ1c2VySWQiOiIxMzQ0MTYwMDk1In0=</vt:lpwstr>
  </property>
</Properties>
</file>