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0A7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tbl>
      <w:tblPr>
        <w:tblStyle w:val="1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709"/>
        <w:gridCol w:w="5266"/>
        <w:gridCol w:w="1063"/>
      </w:tblGrid>
      <w:tr w14:paraId="6D40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79" w:type="dxa"/>
            <w:vAlign w:val="center"/>
          </w:tcPr>
          <w:p w14:paraId="0D5A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09" w:type="dxa"/>
            <w:vAlign w:val="center"/>
          </w:tcPr>
          <w:p w14:paraId="3ADF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评审因素</w:t>
            </w:r>
          </w:p>
        </w:tc>
        <w:tc>
          <w:tcPr>
            <w:tcW w:w="5266" w:type="dxa"/>
            <w:vAlign w:val="center"/>
          </w:tcPr>
          <w:p w14:paraId="7E58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评分细则</w:t>
            </w:r>
          </w:p>
        </w:tc>
        <w:tc>
          <w:tcPr>
            <w:tcW w:w="1063" w:type="dxa"/>
            <w:vAlign w:val="center"/>
          </w:tcPr>
          <w:p w14:paraId="4475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分值（分）</w:t>
            </w:r>
          </w:p>
        </w:tc>
      </w:tr>
      <w:tr w14:paraId="2145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79" w:type="dxa"/>
            <w:vAlign w:val="center"/>
          </w:tcPr>
          <w:p w14:paraId="3D94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一</w:t>
            </w:r>
          </w:p>
        </w:tc>
        <w:tc>
          <w:tcPr>
            <w:tcW w:w="8038" w:type="dxa"/>
            <w:gridSpan w:val="3"/>
            <w:vAlign w:val="center"/>
          </w:tcPr>
          <w:p w14:paraId="7E13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技术部分（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50分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044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vAlign w:val="center"/>
          </w:tcPr>
          <w:p w14:paraId="6430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7AB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充电车位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1B52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1.可规划充电车位≥24个，得5分；</w:t>
            </w:r>
          </w:p>
          <w:p w14:paraId="7B98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2.可规划充电车位＜24个，得0分。</w:t>
            </w:r>
          </w:p>
        </w:tc>
        <w:tc>
          <w:tcPr>
            <w:tcW w:w="1063" w:type="dxa"/>
            <w:vAlign w:val="center"/>
          </w:tcPr>
          <w:p w14:paraId="2FA8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0FE5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vAlign w:val="center"/>
          </w:tcPr>
          <w:p w14:paraId="6955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7D9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安全条件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6041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1.周边有消防栓、消防通道畅通，无占用消防通道，得5分；</w:t>
            </w:r>
          </w:p>
          <w:p w14:paraId="2BF4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2.有任意一项不符，得0分。</w:t>
            </w:r>
          </w:p>
        </w:tc>
        <w:tc>
          <w:tcPr>
            <w:tcW w:w="1063" w:type="dxa"/>
            <w:vAlign w:val="center"/>
          </w:tcPr>
          <w:p w14:paraId="4DB1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4F32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79" w:type="dxa"/>
            <w:vAlign w:val="center"/>
          </w:tcPr>
          <w:p w14:paraId="4592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E3E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遮挡防雨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42B8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1.可搭建雨棚、遮阳棚，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具有防火性能得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10分；</w:t>
            </w:r>
          </w:p>
          <w:p w14:paraId="36B6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2.可搭棚但无防火性能，得5分；</w:t>
            </w:r>
          </w:p>
          <w:p w14:paraId="171B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3.无法搭棚，得0分。</w:t>
            </w:r>
          </w:p>
        </w:tc>
        <w:tc>
          <w:tcPr>
            <w:tcW w:w="1063" w:type="dxa"/>
            <w:vAlign w:val="center"/>
          </w:tcPr>
          <w:p w14:paraId="0B82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0B6A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79" w:type="dxa"/>
            <w:vAlign w:val="center"/>
          </w:tcPr>
          <w:p w14:paraId="02C3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F4E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线路敷设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44F5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1.可走地下管网/桥架，无需破坏路面大面积实施改造，得5分；</w:t>
            </w:r>
          </w:p>
          <w:p w14:paraId="5CEF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2.需小范围破坏路面实施改造，得2分；</w:t>
            </w:r>
          </w:p>
          <w:p w14:paraId="7D0E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3.需大面积破坏路面实施改造，得0分。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1E4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0ACD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579" w:type="dxa"/>
            <w:vAlign w:val="center"/>
          </w:tcPr>
          <w:p w14:paraId="2F59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13E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安防监控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5DDF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1.场地可覆盖监控，能全方位监控充电车辆，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分；</w:t>
            </w:r>
          </w:p>
          <w:p w14:paraId="42F5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监控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存在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盲区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得3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；</w:t>
            </w:r>
          </w:p>
          <w:p w14:paraId="02A4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配备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监控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F85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2D5B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579" w:type="dxa"/>
            <w:vAlign w:val="center"/>
          </w:tcPr>
          <w:p w14:paraId="2C71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A22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防火配置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09C3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1.配备灭火器、烟感报警、断电保护得10分；</w:t>
            </w:r>
          </w:p>
          <w:p w14:paraId="411F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2.缺1项扣3分，缺2项及以上得0分。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96B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5694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79" w:type="dxa"/>
            <w:shd w:val="clear" w:color="auto" w:fill="auto"/>
            <w:vAlign w:val="center"/>
          </w:tcPr>
          <w:p w14:paraId="02EC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二</w:t>
            </w:r>
          </w:p>
        </w:tc>
        <w:tc>
          <w:tcPr>
            <w:tcW w:w="8038" w:type="dxa"/>
            <w:gridSpan w:val="3"/>
            <w:shd w:val="clear" w:color="auto" w:fill="auto"/>
            <w:vAlign w:val="center"/>
          </w:tcPr>
          <w:p w14:paraId="7807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商务部分（20分）</w:t>
            </w:r>
          </w:p>
        </w:tc>
      </w:tr>
      <w:tr w14:paraId="640C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08C2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980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配电方式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6F46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1.能单独与供电公司解决配电，单独安装专用电表得5分；</w:t>
            </w:r>
          </w:p>
          <w:p w14:paraId="0411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2.需物业协调配电，得0分。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0A6F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28CC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3AD8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206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建设成本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13F9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1.充电桩整体建设、安全围蔽等,不需要采购人支付费用及后期维护费，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分；</w:t>
            </w:r>
          </w:p>
          <w:p w14:paraId="3B7B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需要采购人支付建设费用及后期维护费，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318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 w14:paraId="7659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2D4F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CEC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收费范围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00FF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1.充电瓦数0-1000W，收费＜0.5元/小时，充电瓦数1000W以上，收费＜1元/小时的，得10分；</w:t>
            </w:r>
          </w:p>
          <w:p w14:paraId="1BD5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2.充电瓦数0-1000W，收费0.5元-0.6/小时，充电瓦数1000W以上，收费1元-1.5元/小时的，得5分；</w:t>
            </w:r>
          </w:p>
          <w:p w14:paraId="3DD5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3.充电瓦数0-1000W，收费＞0.6元/小时，充电瓦数1000W以上收费＞1.5元/小时的，得0分。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25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1E2F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79" w:type="dxa"/>
            <w:shd w:val="clear" w:color="auto" w:fill="auto"/>
            <w:vAlign w:val="center"/>
          </w:tcPr>
          <w:p w14:paraId="138A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三</w:t>
            </w:r>
          </w:p>
        </w:tc>
        <w:tc>
          <w:tcPr>
            <w:tcW w:w="8038" w:type="dxa"/>
            <w:gridSpan w:val="3"/>
            <w:shd w:val="clear" w:color="auto" w:fill="auto"/>
            <w:vAlign w:val="center"/>
          </w:tcPr>
          <w:p w14:paraId="3D27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报价部分（30分）</w:t>
            </w:r>
          </w:p>
        </w:tc>
      </w:tr>
      <w:tr w14:paraId="10B7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79" w:type="dxa"/>
            <w:shd w:val="clear" w:color="auto" w:fill="auto"/>
            <w:vAlign w:val="center"/>
          </w:tcPr>
          <w:p w14:paraId="51E5A144">
            <w:pPr>
              <w:pStyle w:val="19"/>
              <w:numPr>
                <w:ilvl w:val="0"/>
                <w:numId w:val="0"/>
              </w:numPr>
              <w:autoSpaceDE/>
              <w:autoSpaceDN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681C75E">
            <w:pPr>
              <w:tabs>
                <w:tab w:val="left" w:pos="840"/>
              </w:tabs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投标报价</w:t>
            </w:r>
          </w:p>
          <w:p w14:paraId="0A63132F">
            <w:pPr>
              <w:tabs>
                <w:tab w:val="left" w:pos="840"/>
              </w:tabs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得分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4E0D7C31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投标报价得分＝（投标报价/评标基准价）×价格分值</w:t>
            </w:r>
          </w:p>
          <w:p w14:paraId="4A72928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评标基准价为有效投标文件中最高的场地费价格。</w:t>
            </w:r>
          </w:p>
          <w:p w14:paraId="5164F1DB">
            <w:pPr>
              <w:widowControl/>
              <w:spacing w:line="360" w:lineRule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备注：投标报价得分四舍五入后，小数点后保留两位有效数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ECCCCF9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30</w:t>
            </w:r>
          </w:p>
        </w:tc>
      </w:tr>
      <w:tr w14:paraId="627B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54" w:type="dxa"/>
            <w:gridSpan w:val="3"/>
            <w:shd w:val="clear" w:color="auto" w:fill="auto"/>
            <w:vAlign w:val="center"/>
          </w:tcPr>
          <w:p w14:paraId="6458C5C0">
            <w:pPr>
              <w:widowControl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53C00B1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 w:bidi="ar-SA"/>
              </w:rPr>
              <w:t>100分</w:t>
            </w:r>
          </w:p>
        </w:tc>
      </w:tr>
    </w:tbl>
    <w:p w14:paraId="557D7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73F54"/>
    <w:rsid w:val="0CEC20DC"/>
    <w:rsid w:val="27832A2A"/>
    <w:rsid w:val="43D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tabs>
        <w:tab w:val="left" w:pos="720"/>
      </w:tabs>
      <w:adjustRightInd w:val="0"/>
      <w:spacing w:line="360" w:lineRule="auto"/>
      <w:jc w:val="center"/>
      <w:textAlignment w:val="baseline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Cs w:val="20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kern w:val="0"/>
      <w:szCs w:val="20"/>
    </w:rPr>
  </w:style>
  <w:style w:type="paragraph" w:styleId="10">
    <w:name w:val="footer"/>
    <w:basedOn w:val="1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11">
    <w:name w:val="Body Text Indent 3"/>
    <w:basedOn w:val="1"/>
    <w:qFormat/>
    <w:uiPriority w:val="0"/>
    <w:pPr>
      <w:snapToGrid w:val="0"/>
      <w:spacing w:after="156" w:afterLines="50" w:line="360" w:lineRule="auto"/>
      <w:ind w:firstLine="480" w:firstLineChars="200"/>
      <w:jc w:val="left"/>
    </w:pPr>
    <w:rPr>
      <w:rFonts w:hAnsi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Text"/>
    <w:basedOn w:val="1"/>
    <w:qFormat/>
    <w:uiPriority w:val="0"/>
    <w:pPr>
      <w:spacing w:after="120"/>
    </w:p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7">
    <w:name w:val="正文_1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6"/>
    <w:qFormat/>
    <w:uiPriority w:val="0"/>
    <w:pPr>
      <w:widowControl/>
      <w:jc w:val="center"/>
    </w:pPr>
    <w:rPr>
      <w:rFonts w:ascii="宋体" w:cs="Times New Roman"/>
      <w:b/>
      <w:kern w:val="0"/>
      <w:sz w:val="32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2026-07-13T08:16:00Z</dcterms:created>
  <dc:creator>卑微小虎崽</dc:creator>
  <cp:lastModifiedBy>卑微小虎崽</cp:lastModifiedBy>
  <dcterms:modified xsi:type="dcterms:W3CDTF">2026-07-13T08:22:57Z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8729E8C9FCD041DDB73AB62DB7B7E39E_13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