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65E1">
      <w:pPr>
        <w:keepNext w:val="0"/>
        <w:keepLines w:val="0"/>
        <w:pageBreakBefore w:val="0"/>
        <w:kinsoku/>
        <w:wordWrap/>
        <w:overflowPunct/>
        <w:topLinePunct w:val="0"/>
        <w:autoSpaceDE/>
        <w:autoSpaceDN/>
        <w:bidi w:val="0"/>
        <w:spacing w:line="576" w:lineRule="exact"/>
        <w:ind w:firstLine="0" w:firstLineChars="0"/>
        <w:jc w:val="left"/>
        <w:textAlignment w:val="auto"/>
        <w:rPr>
          <w:rFonts w:hint="default" w:ascii="Times New Roman" w:hAnsi="Times New Roman" w:eastAsia="仿宋_GB2312" w:cs="Times New Roman"/>
          <w:bCs/>
          <w:sz w:val="32"/>
          <w:szCs w:val="32"/>
          <w:shd w:val="clear" w:color="auto" w:fill="auto"/>
          <w:lang w:val="en-US" w:eastAsia="zh-CN"/>
        </w:rPr>
      </w:pPr>
      <w:r>
        <w:rPr>
          <w:rFonts w:hint="default" w:ascii="Times New Roman" w:hAnsi="Times New Roman" w:eastAsia="仿宋_GB2312" w:cs="Times New Roman"/>
          <w:bCs/>
          <w:sz w:val="32"/>
          <w:szCs w:val="32"/>
          <w:shd w:val="clear" w:color="auto" w:fill="auto"/>
          <w:lang w:val="en-US" w:eastAsia="zh-CN"/>
        </w:rPr>
        <w:t>附件2：</w:t>
      </w:r>
    </w:p>
    <w:p w14:paraId="58861D9F">
      <w:pPr>
        <w:pStyle w:val="11"/>
        <w:jc w:val="center"/>
      </w:pPr>
      <w:r>
        <w:rPr>
          <w:rFonts w:hint="default" w:ascii="Times New Roman" w:hAnsi="Times New Roman" w:cs="Times New Roman"/>
          <w:b/>
          <w:bCs/>
          <w:szCs w:val="28"/>
        </w:rPr>
        <w:t xml:space="preserve"> </w:t>
      </w:r>
      <w:r>
        <w:rPr>
          <w:b/>
          <w:sz w:val="48"/>
        </w:rPr>
        <w:t>合同书</w:t>
      </w:r>
    </w:p>
    <w:p w14:paraId="0E7917AB">
      <w:pPr>
        <w:pStyle w:val="11"/>
        <w:jc w:val="center"/>
        <w:rPr>
          <w:sz w:val="24"/>
          <w:u w:val="single"/>
        </w:rPr>
      </w:pPr>
      <w:r>
        <w:br w:type="textWrapping"/>
      </w:r>
      <w:r>
        <w:br w:type="textWrapping"/>
      </w:r>
      <w:r>
        <w:br w:type="textWrapping"/>
      </w:r>
      <w:r>
        <w:t xml:space="preserve">   </w:t>
      </w:r>
    </w:p>
    <w:p w14:paraId="6444C391">
      <w:pPr>
        <w:pStyle w:val="11"/>
      </w:pPr>
      <w:r>
        <w:t xml:space="preserve"> </w:t>
      </w:r>
    </w:p>
    <w:p w14:paraId="50A7863A">
      <w:pPr>
        <w:pStyle w:val="11"/>
      </w:pPr>
      <w:r>
        <w:rPr>
          <w:color w:val="222222"/>
          <w:sz w:val="24"/>
        </w:rPr>
        <w:t>项目名称：</w:t>
      </w:r>
      <w:r>
        <w:rPr>
          <w:rFonts w:hint="eastAsia"/>
          <w:sz w:val="24"/>
          <w:u w:val="single"/>
        </w:rPr>
        <w:t>广东省第一荣军优抚医院云胶片软件采购项目</w:t>
      </w:r>
    </w:p>
    <w:p w14:paraId="593E1390">
      <w:pPr>
        <w:pStyle w:val="11"/>
      </w:pPr>
      <w:r>
        <w:t xml:space="preserve"> </w:t>
      </w:r>
    </w:p>
    <w:p w14:paraId="31F606E1">
      <w:pPr>
        <w:pStyle w:val="11"/>
      </w:pPr>
      <w:r>
        <w:t xml:space="preserve"> </w:t>
      </w:r>
    </w:p>
    <w:p w14:paraId="54ABB473">
      <w:pPr>
        <w:pStyle w:val="11"/>
      </w:pPr>
      <w:r>
        <w:t xml:space="preserve"> </w:t>
      </w:r>
    </w:p>
    <w:p w14:paraId="784805B0">
      <w:pPr>
        <w:pStyle w:val="11"/>
      </w:pPr>
      <w:r>
        <w:t xml:space="preserve"> </w:t>
      </w:r>
    </w:p>
    <w:p w14:paraId="1E3A2E78">
      <w:pPr>
        <w:pStyle w:val="11"/>
      </w:pPr>
      <w:r>
        <w:rPr>
          <w:b/>
          <w:sz w:val="24"/>
        </w:rPr>
        <w:t>甲方：</w:t>
      </w:r>
      <w:r>
        <w:rPr>
          <w:sz w:val="24"/>
          <w:u w:val="single"/>
        </w:rPr>
        <w:t>广东省第一荣军优抚医院</w:t>
      </w:r>
    </w:p>
    <w:p w14:paraId="2C7E3D8F">
      <w:pPr>
        <w:pStyle w:val="11"/>
      </w:pPr>
      <w:r>
        <w:rPr>
          <w:color w:val="222222"/>
          <w:sz w:val="24"/>
        </w:rPr>
        <w:t>电话：</w:t>
      </w:r>
      <w:r>
        <w:rPr>
          <w:rFonts w:hint="eastAsia"/>
          <w:color w:val="222222"/>
          <w:sz w:val="24"/>
          <w:u w:val="single"/>
          <w:lang w:val="en-US" w:eastAsia="zh-CN"/>
        </w:rPr>
        <w:t>020-84181396-2708</w:t>
      </w:r>
      <w:r>
        <w:rPr>
          <w:color w:val="222222"/>
          <w:sz w:val="24"/>
        </w:rPr>
        <w:t>传真：</w:t>
      </w:r>
      <w:r>
        <w:rPr>
          <w:u w:val="single"/>
        </w:rPr>
        <w:t xml:space="preserve"> </w:t>
      </w:r>
      <w:r>
        <w:rPr>
          <w:rFonts w:hint="eastAsia"/>
          <w:u w:val="single"/>
          <w:lang w:val="en-US" w:eastAsia="zh-CN"/>
        </w:rPr>
        <w:t xml:space="preserve"> /</w:t>
      </w:r>
      <w:r>
        <w:rPr>
          <w:u w:val="single"/>
        </w:rPr>
        <w:t xml:space="preserve">  </w:t>
      </w:r>
    </w:p>
    <w:p w14:paraId="2390C238">
      <w:pPr>
        <w:pStyle w:val="11"/>
        <w:rPr>
          <w:u w:val="single"/>
        </w:rPr>
      </w:pPr>
      <w:r>
        <w:rPr>
          <w:color w:val="222222"/>
          <w:sz w:val="24"/>
        </w:rPr>
        <w:t>地址：</w:t>
      </w:r>
      <w:r>
        <w:rPr>
          <w:rFonts w:hint="eastAsia"/>
          <w:color w:val="222222"/>
          <w:sz w:val="24"/>
          <w:u w:val="single"/>
          <w:lang w:val="en-US" w:eastAsia="zh-CN"/>
        </w:rPr>
        <w:t>广州市海珠区新港西路114号</w:t>
      </w:r>
    </w:p>
    <w:p w14:paraId="0FB823A9">
      <w:pPr>
        <w:pStyle w:val="11"/>
        <w:rPr>
          <w:u w:val="single"/>
        </w:rPr>
      </w:pPr>
    </w:p>
    <w:p w14:paraId="77E99FA6">
      <w:pPr>
        <w:pStyle w:val="11"/>
        <w:rPr>
          <w:u w:val="single"/>
        </w:rPr>
      </w:pPr>
    </w:p>
    <w:p w14:paraId="1F714B13">
      <w:pPr>
        <w:pStyle w:val="11"/>
      </w:pPr>
      <w:r>
        <w:rPr>
          <w:b/>
          <w:sz w:val="24"/>
        </w:rPr>
        <w:t>乙方：</w:t>
      </w:r>
      <w:r>
        <w:rPr>
          <w:rFonts w:hint="eastAsia"/>
          <w:sz w:val="24"/>
          <w:u w:val="single"/>
          <w:lang w:val="en-US" w:eastAsia="zh-CN"/>
        </w:rPr>
        <w:t>XX</w:t>
      </w:r>
      <w:r>
        <w:rPr>
          <w:rFonts w:hint="eastAsia"/>
          <w:sz w:val="24"/>
          <w:u w:val="single"/>
        </w:rPr>
        <w:t>公司</w:t>
      </w:r>
    </w:p>
    <w:p w14:paraId="42772F4F">
      <w:pPr>
        <w:pStyle w:val="11"/>
        <w:rPr>
          <w:rFonts w:hint="default"/>
          <w:b w:val="0"/>
          <w:bCs w:val="0"/>
          <w:color w:val="222222"/>
          <w:sz w:val="24"/>
          <w:lang w:val="en-US"/>
        </w:rPr>
      </w:pPr>
      <w:r>
        <w:rPr>
          <w:color w:val="222222"/>
          <w:sz w:val="24"/>
        </w:rPr>
        <w:t>电话：</w:t>
      </w:r>
      <w:r>
        <w:rPr>
          <w:rFonts w:hint="eastAsia"/>
          <w:b w:val="0"/>
          <w:bCs w:val="0"/>
          <w:sz w:val="24"/>
          <w:u w:val="single"/>
          <w:lang w:val="en-US" w:eastAsia="zh-CN"/>
        </w:rPr>
        <w:t xml:space="preserve">      </w:t>
      </w:r>
      <w:r>
        <w:rPr>
          <w:b w:val="0"/>
          <w:bCs w:val="0"/>
          <w:color w:val="222222"/>
          <w:sz w:val="24"/>
        </w:rPr>
        <w:t>传真：</w:t>
      </w:r>
      <w:r>
        <w:rPr>
          <w:rFonts w:hint="eastAsia"/>
          <w:b w:val="0"/>
          <w:bCs w:val="0"/>
          <w:sz w:val="24"/>
          <w:u w:val="single"/>
          <w:lang w:val="en-US" w:eastAsia="zh-CN"/>
        </w:rPr>
        <w:t xml:space="preserve">      </w:t>
      </w:r>
    </w:p>
    <w:p w14:paraId="1EE1A9A9">
      <w:pPr>
        <w:pStyle w:val="11"/>
        <w:rPr>
          <w:rFonts w:hint="default"/>
          <w:b w:val="0"/>
          <w:bCs w:val="0"/>
          <w:color w:val="222222"/>
          <w:sz w:val="24"/>
          <w:u w:val="single"/>
          <w:lang w:val="en-US" w:eastAsia="zh-CN"/>
        </w:rPr>
      </w:pPr>
      <w:r>
        <w:rPr>
          <w:b w:val="0"/>
          <w:bCs w:val="0"/>
          <w:color w:val="222222"/>
          <w:sz w:val="24"/>
        </w:rPr>
        <w:t>地址：</w:t>
      </w:r>
      <w:r>
        <w:rPr>
          <w:rFonts w:hint="eastAsia"/>
          <w:b w:val="0"/>
          <w:bCs w:val="0"/>
          <w:color w:val="222222"/>
          <w:sz w:val="24"/>
          <w:u w:val="single"/>
          <w:lang w:val="en-US" w:eastAsia="zh-CN"/>
        </w:rPr>
        <w:t xml:space="preserve">                          </w:t>
      </w:r>
    </w:p>
    <w:p w14:paraId="0F8C1A43">
      <w:pPr>
        <w:pStyle w:val="11"/>
        <w:rPr>
          <w:rFonts w:hint="eastAsia"/>
          <w:color w:val="222222"/>
          <w:sz w:val="24"/>
          <w:u w:val="single"/>
          <w:lang w:val="en-US" w:eastAsia="zh-CN"/>
        </w:rPr>
      </w:pPr>
    </w:p>
    <w:p w14:paraId="17F4BA07">
      <w:pPr>
        <w:pStyle w:val="11"/>
      </w:pPr>
      <w:r>
        <w:rPr>
          <w:color w:val="222222"/>
          <w:sz w:val="24"/>
        </w:rPr>
        <w:t xml:space="preserve">    根据</w:t>
      </w:r>
      <w:r>
        <w:rPr>
          <w:rFonts w:hint="eastAsia"/>
          <w:sz w:val="24"/>
          <w:u w:val="single"/>
        </w:rPr>
        <w:t>广东省第一荣军优抚医院云胶片软件采购项</w:t>
      </w:r>
      <w:r>
        <w:rPr>
          <w:sz w:val="24"/>
          <w:u w:val="single"/>
        </w:rPr>
        <w:t>目</w:t>
      </w:r>
      <w:r>
        <w:rPr>
          <w:color w:val="222222"/>
          <w:sz w:val="24"/>
        </w:rPr>
        <w:t>的采购结果，按照《中华人民共和国政府采购法》和《中华人民共和国民法典（合同编）》的规定，经双方协商，本着平等互利和诚实信用的原则，一致同意遵守本合同。具体条款如下：</w:t>
      </w:r>
    </w:p>
    <w:p w14:paraId="15D6603D">
      <w:pPr>
        <w:pStyle w:val="11"/>
      </w:pPr>
      <w:r>
        <w:rPr>
          <w:b/>
          <w:sz w:val="24"/>
        </w:rPr>
        <w:t>一、合同金额</w:t>
      </w:r>
    </w:p>
    <w:p w14:paraId="57831960">
      <w:pPr>
        <w:pStyle w:val="11"/>
        <w:ind w:firstLine="480"/>
      </w:pPr>
      <w:r>
        <w:rPr>
          <w:color w:val="222222"/>
          <w:sz w:val="24"/>
        </w:rPr>
        <w:t>合同金额为（大写）：人民币</w:t>
      </w:r>
      <w:r>
        <w:rPr>
          <w:rFonts w:hint="eastAsia" w:ascii="宋体" w:hAnsi="宋体" w:eastAsia="宋体" w:cs="宋体"/>
          <w:b/>
          <w:bCs/>
          <w:sz w:val="24"/>
          <w:szCs w:val="24"/>
          <w:u w:val="single"/>
          <w:lang w:val="en-US" w:eastAsia="zh-CN"/>
        </w:rPr>
        <w:t xml:space="preserve">      </w:t>
      </w:r>
      <w:r>
        <w:rPr>
          <w:color w:val="222222"/>
          <w:sz w:val="24"/>
        </w:rPr>
        <w:t>元</w:t>
      </w:r>
      <w:r>
        <w:rPr>
          <w:rFonts w:hint="eastAsia"/>
          <w:color w:val="222222"/>
          <w:sz w:val="24"/>
          <w:lang w:val="en-US" w:eastAsia="zh-CN"/>
        </w:rPr>
        <w:t>整</w:t>
      </w:r>
      <w:r>
        <w:rPr>
          <w:color w:val="222222"/>
          <w:sz w:val="24"/>
        </w:rPr>
        <w:t>（￥</w:t>
      </w:r>
      <w:r>
        <w:rPr>
          <w:rFonts w:hint="eastAsia" w:ascii="宋体" w:hAnsi="宋体" w:eastAsia="宋体" w:cs="宋体"/>
          <w:b/>
          <w:bCs/>
          <w:sz w:val="24"/>
          <w:szCs w:val="24"/>
          <w:u w:val="single"/>
          <w:lang w:val="en-US" w:eastAsia="zh-CN"/>
        </w:rPr>
        <w:t xml:space="preserve">      </w:t>
      </w:r>
      <w:r>
        <w:rPr>
          <w:color w:val="222222"/>
          <w:sz w:val="24"/>
        </w:rPr>
        <w:t>元）</w:t>
      </w:r>
    </w:p>
    <w:p w14:paraId="5249C972">
      <w:pPr>
        <w:pStyle w:val="11"/>
        <w:ind w:firstLine="480"/>
      </w:pPr>
      <w:r>
        <w:rPr>
          <w:sz w:val="24"/>
        </w:rPr>
        <w:t>合同金额包含完成本合同中要求的所有工作内容而发生的所有直接费用、间接费用和乙方要求获得的利润以及应由乙方承担的义务、责任和风险所发生的一切费用和赔偿。</w:t>
      </w:r>
    </w:p>
    <w:p w14:paraId="4EB56F13">
      <w:pPr>
        <w:pStyle w:val="11"/>
      </w:pPr>
      <w:r>
        <w:rPr>
          <w:b/>
          <w:sz w:val="24"/>
        </w:rPr>
        <w:t>二、服务范围</w:t>
      </w:r>
    </w:p>
    <w:p w14:paraId="5E0CC828">
      <w:pPr>
        <w:pStyle w:val="11"/>
      </w:pPr>
      <w:r>
        <w:rPr>
          <w:color w:val="222222"/>
          <w:sz w:val="24"/>
        </w:rPr>
        <w:t>甲方聘请乙方提供以下服务：</w:t>
      </w:r>
    </w:p>
    <w:p w14:paraId="753D0AA1">
      <w:pPr>
        <w:pStyle w:val="11"/>
        <w:ind w:firstLine="480"/>
      </w:pPr>
      <w:r>
        <w:rPr>
          <w:color w:val="222222"/>
          <w:sz w:val="24"/>
        </w:rPr>
        <w:t>1.乙方为甲方提供及时高效的技术支持及操作指引，承担起甲方</w:t>
      </w:r>
      <w:r>
        <w:rPr>
          <w:rFonts w:hint="eastAsia"/>
          <w:color w:val="222222"/>
          <w:sz w:val="24"/>
          <w:lang w:val="en-US" w:eastAsia="zh-CN"/>
        </w:rPr>
        <w:t>云胶片软件</w:t>
      </w:r>
      <w:r>
        <w:rPr>
          <w:color w:val="222222"/>
          <w:sz w:val="24"/>
        </w:rPr>
        <w:t>的建设、维护及技术支持工作。</w:t>
      </w:r>
    </w:p>
    <w:p w14:paraId="5286295B">
      <w:pPr>
        <w:pStyle w:val="11"/>
        <w:ind w:firstLine="480"/>
      </w:pPr>
      <w:r>
        <w:rPr>
          <w:color w:val="222222"/>
          <w:sz w:val="24"/>
        </w:rPr>
        <w:t>2.乙方应熟悉甲方在用的各软件模块系统，保证甲方在用系统平稳运行。对系统在使用过程中发现的问题及时完成修复，系统使用过程中，因用户误操作等原因导致的数据错误，乙方应协助查明原因和进行数据修复。</w:t>
      </w:r>
    </w:p>
    <w:p w14:paraId="60E5CDE5">
      <w:pPr>
        <w:pStyle w:val="11"/>
        <w:ind w:firstLine="480"/>
      </w:pPr>
      <w:r>
        <w:rPr>
          <w:color w:val="222222"/>
          <w:sz w:val="24"/>
        </w:rPr>
        <w:t>3.乙方需承担需求文档、设计文档、数据库表结构、验收检测文档和提供操作说明书等其他类似工作。</w:t>
      </w:r>
    </w:p>
    <w:p w14:paraId="20F1F3F9">
      <w:pPr>
        <w:pStyle w:val="11"/>
      </w:pPr>
      <w:r>
        <w:rPr>
          <w:b/>
          <w:sz w:val="24"/>
        </w:rPr>
        <w:t>三、甲方和乙方的权利和义务</w:t>
      </w:r>
    </w:p>
    <w:p w14:paraId="036263F4">
      <w:pPr>
        <w:pStyle w:val="11"/>
        <w:ind w:firstLine="560"/>
      </w:pPr>
      <w:r>
        <w:rPr>
          <w:color w:val="222222"/>
          <w:sz w:val="24"/>
        </w:rPr>
        <w:t>1.甲方的权利和义务</w:t>
      </w:r>
    </w:p>
    <w:p w14:paraId="28FF195D">
      <w:pPr>
        <w:pStyle w:val="11"/>
        <w:ind w:firstLine="480"/>
      </w:pPr>
      <w:r>
        <w:rPr>
          <w:color w:val="222222"/>
          <w:sz w:val="24"/>
        </w:rPr>
        <w:t>（1）维护、行使甲方的合法权益；</w:t>
      </w:r>
    </w:p>
    <w:p w14:paraId="5D49A3B1">
      <w:pPr>
        <w:pStyle w:val="11"/>
        <w:ind w:firstLine="480"/>
      </w:pPr>
      <w:r>
        <w:rPr>
          <w:color w:val="222222"/>
          <w:sz w:val="24"/>
        </w:rPr>
        <w:t>（2）审定乙方提供的工作成果，并提出合理化建议，督促乙方完善不足之处等；</w:t>
      </w:r>
    </w:p>
    <w:p w14:paraId="01A9A3FC">
      <w:pPr>
        <w:pStyle w:val="11"/>
        <w:ind w:firstLine="480"/>
      </w:pPr>
      <w:r>
        <w:rPr>
          <w:color w:val="222222"/>
          <w:sz w:val="24"/>
        </w:rPr>
        <w:t>（3）检查监督乙方工作的实施及执行情况；</w:t>
      </w:r>
    </w:p>
    <w:p w14:paraId="6D97808C">
      <w:pPr>
        <w:pStyle w:val="11"/>
        <w:ind w:firstLine="480"/>
      </w:pPr>
      <w:r>
        <w:rPr>
          <w:color w:val="222222"/>
          <w:sz w:val="24"/>
        </w:rPr>
        <w:t>（4）为乙方完成相关工作提供必要的资料；</w:t>
      </w:r>
    </w:p>
    <w:p w14:paraId="619F2A19">
      <w:pPr>
        <w:pStyle w:val="11"/>
        <w:ind w:firstLine="480"/>
      </w:pPr>
      <w:r>
        <w:rPr>
          <w:color w:val="222222"/>
          <w:sz w:val="24"/>
        </w:rPr>
        <w:t>（5）按合同约定支付服务费给乙方。</w:t>
      </w:r>
    </w:p>
    <w:p w14:paraId="4A878A32">
      <w:pPr>
        <w:pStyle w:val="11"/>
        <w:ind w:firstLine="480"/>
      </w:pPr>
      <w:r>
        <w:rPr>
          <w:color w:val="222222"/>
          <w:sz w:val="24"/>
        </w:rPr>
        <w:t>2.乙方的权利和义务</w:t>
      </w:r>
    </w:p>
    <w:p w14:paraId="43A002DF">
      <w:pPr>
        <w:pStyle w:val="11"/>
        <w:ind w:firstLine="480"/>
      </w:pPr>
      <w:r>
        <w:rPr>
          <w:color w:val="222222"/>
          <w:sz w:val="24"/>
        </w:rPr>
        <w:t>（</w:t>
      </w:r>
      <w:r>
        <w:rPr>
          <w:rFonts w:hint="eastAsia"/>
          <w:color w:val="222222"/>
          <w:sz w:val="24"/>
          <w:lang w:val="en-US" w:eastAsia="zh-CN"/>
        </w:rPr>
        <w:t>1</w:t>
      </w:r>
      <w:r>
        <w:rPr>
          <w:color w:val="222222"/>
          <w:sz w:val="24"/>
        </w:rPr>
        <w:t>）乙方须按国家法律法规、相关技术规范和《招投标文件》的要求实施</w:t>
      </w:r>
      <w:r>
        <w:rPr>
          <w:rFonts w:hint="eastAsia"/>
          <w:sz w:val="24"/>
          <w:u w:val="single"/>
          <w:lang w:val="en-US" w:eastAsia="zh-CN"/>
        </w:rPr>
        <w:t>云胶片软件</w:t>
      </w:r>
      <w:r>
        <w:rPr>
          <w:sz w:val="24"/>
          <w:u w:val="single"/>
        </w:rPr>
        <w:t>项目</w:t>
      </w:r>
      <w:r>
        <w:rPr>
          <w:color w:val="222222"/>
          <w:sz w:val="24"/>
        </w:rPr>
        <w:t>等技术服务工作；</w:t>
      </w:r>
    </w:p>
    <w:p w14:paraId="286AD5D1">
      <w:pPr>
        <w:pStyle w:val="11"/>
        <w:ind w:firstLine="480"/>
      </w:pPr>
      <w:r>
        <w:rPr>
          <w:color w:val="222222"/>
          <w:sz w:val="24"/>
        </w:rPr>
        <w:t>（</w:t>
      </w:r>
      <w:r>
        <w:rPr>
          <w:rFonts w:hint="eastAsia"/>
          <w:color w:val="222222"/>
          <w:sz w:val="24"/>
          <w:lang w:val="en-US" w:eastAsia="zh-CN"/>
        </w:rPr>
        <w:t>2</w:t>
      </w:r>
      <w:r>
        <w:rPr>
          <w:color w:val="222222"/>
          <w:sz w:val="24"/>
        </w:rPr>
        <w:t>）乙方应当根据合同要求承诺确保项目保质、保量完成。</w:t>
      </w:r>
    </w:p>
    <w:p w14:paraId="2E7D75E1">
      <w:pPr>
        <w:pStyle w:val="11"/>
        <w:ind w:firstLine="480"/>
      </w:pPr>
      <w:r>
        <w:rPr>
          <w:color w:val="222222"/>
          <w:sz w:val="24"/>
        </w:rPr>
        <w:t>（</w:t>
      </w:r>
      <w:r>
        <w:rPr>
          <w:rFonts w:hint="eastAsia"/>
          <w:color w:val="222222"/>
          <w:sz w:val="24"/>
          <w:lang w:val="en-US" w:eastAsia="zh-CN"/>
        </w:rPr>
        <w:t>3</w:t>
      </w:r>
      <w:r>
        <w:rPr>
          <w:color w:val="222222"/>
          <w:sz w:val="24"/>
        </w:rPr>
        <w:t>）服务期内，若乙方提供的应用系统出现任何安全漏洞，乙方须严格按照甲方要求，无条件、第一时间配合甲方完成漏洞整改及闭环验证，不得推诿、拖延，不得收取任何额外费用。</w:t>
      </w:r>
    </w:p>
    <w:p w14:paraId="4B01E853">
      <w:pPr>
        <w:pStyle w:val="11"/>
      </w:pPr>
      <w:r>
        <w:rPr>
          <w:b/>
          <w:sz w:val="24"/>
        </w:rPr>
        <w:t>四、服务期间（项目完成期限）</w:t>
      </w:r>
    </w:p>
    <w:p w14:paraId="1280DC70">
      <w:pPr>
        <w:pStyle w:val="11"/>
        <w:ind w:firstLine="480"/>
        <w:rPr>
          <w:rFonts w:hint="default" w:eastAsia="宋体"/>
          <w:lang w:val="en-US" w:eastAsia="zh-CN"/>
        </w:rPr>
      </w:pPr>
      <w:r>
        <w:rPr>
          <w:color w:val="222222"/>
          <w:sz w:val="24"/>
        </w:rPr>
        <w:t>委托服务期间</w:t>
      </w:r>
      <w:r>
        <w:rPr>
          <w:rFonts w:hint="eastAsia"/>
          <w:color w:val="222222"/>
          <w:sz w:val="24"/>
          <w:lang w:eastAsia="zh-CN"/>
        </w:rPr>
        <w:t>：</w:t>
      </w:r>
      <w:r>
        <w:rPr>
          <w:rFonts w:hint="eastAsia"/>
          <w:color w:val="222222"/>
          <w:sz w:val="24"/>
          <w:lang w:val="en-US" w:eastAsia="zh-CN"/>
        </w:rPr>
        <w:t>合同签订后120个日历日内完成建设内容的硬件设备安装、软件调试、上线运行、验收工作。</w:t>
      </w:r>
    </w:p>
    <w:p w14:paraId="30EBC392">
      <w:pPr>
        <w:pStyle w:val="11"/>
      </w:pPr>
      <w:r>
        <w:rPr>
          <w:b/>
          <w:sz w:val="24"/>
        </w:rPr>
        <w:t>五、进度计划调整</w:t>
      </w:r>
    </w:p>
    <w:p w14:paraId="0A487D91">
      <w:pPr>
        <w:pStyle w:val="11"/>
        <w:ind w:firstLine="480"/>
      </w:pPr>
      <w:r>
        <w:rPr>
          <w:color w:val="222222"/>
          <w:sz w:val="24"/>
        </w:rPr>
        <w:t>1.本项目自合同签订后按照乙方提交的项目预案书、项目实施计划及进度表实施，实施过程中如遇不可控因素或甲方业务需求调整，确需变更原定方案或进度的，乙方应提交《变更申请报告》，说明变更原因、内容及新的进度安排；</w:t>
      </w:r>
    </w:p>
    <w:p w14:paraId="293BDA0D">
      <w:pPr>
        <w:pStyle w:val="11"/>
        <w:ind w:firstLine="480"/>
      </w:pPr>
      <w:r>
        <w:rPr>
          <w:color w:val="222222"/>
          <w:sz w:val="24"/>
        </w:rPr>
        <w:t>2.变更内容需经甲方书面审批后方可实施，未经批准擅自调整的，视为违约行为，甲方有权暂停付款或终止合同。</w:t>
      </w:r>
    </w:p>
    <w:p w14:paraId="740A0F3F">
      <w:pPr>
        <w:pStyle w:val="11"/>
      </w:pPr>
      <w:r>
        <w:rPr>
          <w:b/>
          <w:sz w:val="24"/>
        </w:rPr>
        <w:t>六、付款方式</w:t>
      </w:r>
    </w:p>
    <w:p w14:paraId="199E2EBE">
      <w:pPr>
        <w:pStyle w:val="11"/>
        <w:ind w:firstLine="480"/>
        <w:rPr>
          <w:rFonts w:hint="eastAsia"/>
          <w:color w:val="222222"/>
          <w:sz w:val="24"/>
          <w:lang w:val="en-US" w:eastAsia="zh-Hans"/>
        </w:rPr>
      </w:pPr>
      <w:r>
        <w:rPr>
          <w:rFonts w:hint="eastAsia"/>
          <w:color w:val="222222"/>
          <w:sz w:val="24"/>
          <w:lang w:val="en-US" w:eastAsia="zh-Hans"/>
        </w:rPr>
        <w:t>1.预付款：签订合同后，以及收到乙方提供的合法有效发票后，甲方10个工作日内向乙方支付合同金额的30%</w:t>
      </w:r>
      <w:r>
        <w:rPr>
          <w:rFonts w:hint="eastAsia"/>
          <w:color w:val="222222"/>
          <w:sz w:val="24"/>
          <w:lang w:val="en-US" w:eastAsia="zh-CN"/>
        </w:rPr>
        <w:t>，即</w:t>
      </w:r>
      <w:r>
        <w:rPr>
          <w:color w:val="222222"/>
          <w:sz w:val="24"/>
        </w:rPr>
        <w:t>人民币</w:t>
      </w:r>
      <w:r>
        <w:rPr>
          <w:rFonts w:hint="eastAsia" w:ascii="宋体" w:hAnsi="宋体" w:eastAsia="宋体" w:cs="宋体"/>
          <w:b/>
          <w:bCs/>
          <w:sz w:val="24"/>
          <w:szCs w:val="24"/>
          <w:u w:val="single"/>
          <w:lang w:val="en-US" w:eastAsia="zh-CN"/>
        </w:rPr>
        <w:t xml:space="preserve">      </w:t>
      </w:r>
      <w:r>
        <w:rPr>
          <w:color w:val="222222"/>
          <w:sz w:val="24"/>
        </w:rPr>
        <w:t>元</w:t>
      </w:r>
      <w:r>
        <w:rPr>
          <w:rFonts w:hint="eastAsia"/>
          <w:color w:val="222222"/>
          <w:sz w:val="24"/>
          <w:lang w:val="en-US" w:eastAsia="zh-CN"/>
        </w:rPr>
        <w:t>整</w:t>
      </w:r>
      <w:r>
        <w:rPr>
          <w:color w:val="222222"/>
          <w:sz w:val="24"/>
        </w:rPr>
        <w:t>（￥</w:t>
      </w:r>
      <w:r>
        <w:rPr>
          <w:rFonts w:hint="eastAsia" w:ascii="宋体" w:hAnsi="宋体" w:eastAsia="宋体" w:cs="宋体"/>
          <w:b/>
          <w:bCs/>
          <w:sz w:val="24"/>
          <w:szCs w:val="24"/>
          <w:u w:val="single"/>
          <w:lang w:val="en-US" w:eastAsia="zh-CN"/>
        </w:rPr>
        <w:t xml:space="preserve">      </w:t>
      </w:r>
      <w:r>
        <w:rPr>
          <w:color w:val="222222"/>
          <w:sz w:val="24"/>
        </w:rPr>
        <w:t>元）</w:t>
      </w:r>
      <w:r>
        <w:rPr>
          <w:rFonts w:hint="eastAsia"/>
          <w:color w:val="222222"/>
          <w:sz w:val="24"/>
          <w:lang w:val="en-US" w:eastAsia="zh-Hans"/>
        </w:rPr>
        <w:t>。</w:t>
      </w:r>
    </w:p>
    <w:p w14:paraId="27EEA5E5">
      <w:pPr>
        <w:pStyle w:val="11"/>
        <w:ind w:firstLine="480"/>
        <w:rPr>
          <w:color w:val="222222"/>
          <w:sz w:val="24"/>
        </w:rPr>
      </w:pPr>
      <w:r>
        <w:rPr>
          <w:color w:val="222222"/>
          <w:sz w:val="24"/>
        </w:rPr>
        <w:t>2.系统部署上线已可以完成内部测试运行，乙方提交</w:t>
      </w:r>
      <w:r>
        <w:rPr>
          <w:rFonts w:hint="eastAsia"/>
          <w:color w:val="222222"/>
          <w:sz w:val="24"/>
          <w:lang w:val="en-US" w:eastAsia="zh-CN"/>
        </w:rPr>
        <w:t>上线申请</w:t>
      </w:r>
      <w:r>
        <w:rPr>
          <w:color w:val="222222"/>
          <w:sz w:val="24"/>
        </w:rPr>
        <w:t>、培训资料</w:t>
      </w:r>
      <w:r>
        <w:rPr>
          <w:rFonts w:hint="eastAsia"/>
          <w:color w:val="222222"/>
          <w:sz w:val="24"/>
          <w:lang w:val="en-US" w:eastAsia="zh-CN"/>
        </w:rPr>
        <w:t>及</w:t>
      </w:r>
      <w:r>
        <w:rPr>
          <w:color w:val="222222"/>
          <w:sz w:val="24"/>
        </w:rPr>
        <w:t>项目实施文档等资料，以及收到乙方提供的合法有效发票后，甲方10个工作日内向乙方支付合同金额的30%</w:t>
      </w:r>
      <w:r>
        <w:rPr>
          <w:rFonts w:hint="eastAsia"/>
          <w:color w:val="222222"/>
          <w:sz w:val="24"/>
          <w:lang w:eastAsia="zh-CN"/>
        </w:rPr>
        <w:t>，</w:t>
      </w:r>
      <w:r>
        <w:rPr>
          <w:rFonts w:hint="eastAsia"/>
          <w:color w:val="222222"/>
          <w:sz w:val="24"/>
          <w:lang w:val="en-US" w:eastAsia="zh-CN"/>
        </w:rPr>
        <w:t>即</w:t>
      </w:r>
      <w:r>
        <w:rPr>
          <w:color w:val="222222"/>
          <w:sz w:val="24"/>
        </w:rPr>
        <w:t>人民币</w:t>
      </w:r>
      <w:r>
        <w:rPr>
          <w:rFonts w:hint="eastAsia" w:ascii="宋体" w:hAnsi="宋体" w:eastAsia="宋体" w:cs="宋体"/>
          <w:b/>
          <w:bCs/>
          <w:sz w:val="24"/>
          <w:szCs w:val="24"/>
          <w:u w:val="single"/>
          <w:lang w:val="en-US" w:eastAsia="zh-CN"/>
        </w:rPr>
        <w:t xml:space="preserve">      </w:t>
      </w:r>
      <w:r>
        <w:rPr>
          <w:color w:val="222222"/>
          <w:sz w:val="24"/>
        </w:rPr>
        <w:t>元</w:t>
      </w:r>
      <w:r>
        <w:rPr>
          <w:rFonts w:hint="eastAsia"/>
          <w:color w:val="222222"/>
          <w:sz w:val="24"/>
          <w:lang w:val="en-US" w:eastAsia="zh-CN"/>
        </w:rPr>
        <w:t>整</w:t>
      </w:r>
      <w:r>
        <w:rPr>
          <w:color w:val="222222"/>
          <w:sz w:val="24"/>
        </w:rPr>
        <w:t>（￥</w:t>
      </w:r>
      <w:r>
        <w:rPr>
          <w:rFonts w:hint="eastAsia" w:ascii="宋体" w:hAnsi="宋体" w:eastAsia="宋体" w:cs="宋体"/>
          <w:b/>
          <w:bCs/>
          <w:sz w:val="24"/>
          <w:szCs w:val="24"/>
          <w:u w:val="single"/>
          <w:lang w:val="en-US" w:eastAsia="zh-CN"/>
        </w:rPr>
        <w:t xml:space="preserve">      </w:t>
      </w:r>
      <w:r>
        <w:rPr>
          <w:color w:val="222222"/>
          <w:sz w:val="24"/>
        </w:rPr>
        <w:t>元）；</w:t>
      </w:r>
    </w:p>
    <w:p w14:paraId="4FA7F9A3">
      <w:pPr>
        <w:pStyle w:val="11"/>
        <w:ind w:firstLine="480"/>
        <w:rPr>
          <w:color w:val="222222"/>
          <w:sz w:val="24"/>
        </w:rPr>
      </w:pPr>
      <w:r>
        <w:rPr>
          <w:color w:val="222222"/>
          <w:sz w:val="24"/>
        </w:rPr>
        <w:t>3.</w:t>
      </w:r>
      <w:r>
        <w:rPr>
          <w:rFonts w:hint="eastAsia"/>
          <w:color w:val="222222"/>
          <w:sz w:val="24"/>
          <w:lang w:val="en-US" w:eastAsia="zh-CN"/>
        </w:rPr>
        <w:t>系统</w:t>
      </w:r>
      <w:r>
        <w:rPr>
          <w:color w:val="222222"/>
          <w:sz w:val="24"/>
        </w:rPr>
        <w:t>上线正常运行30个日历日且项目验收通过，功能要求达到招标文件标准及现场用户需求，乙方提供验收报告以及收到乙方提供的合法有效发票后，甲方10个工作日内向乙方内支付合同金额的</w:t>
      </w:r>
      <w:r>
        <w:rPr>
          <w:rFonts w:hint="eastAsia"/>
          <w:color w:val="222222"/>
          <w:sz w:val="24"/>
          <w:lang w:val="en-US" w:eastAsia="zh-CN"/>
        </w:rPr>
        <w:t>40</w:t>
      </w:r>
      <w:r>
        <w:rPr>
          <w:color w:val="222222"/>
          <w:sz w:val="24"/>
        </w:rPr>
        <w:t>%</w:t>
      </w:r>
      <w:r>
        <w:rPr>
          <w:rFonts w:hint="eastAsia"/>
          <w:color w:val="222222"/>
          <w:sz w:val="24"/>
          <w:lang w:eastAsia="zh-CN"/>
        </w:rPr>
        <w:t>，</w:t>
      </w:r>
      <w:r>
        <w:rPr>
          <w:rFonts w:hint="eastAsia"/>
          <w:color w:val="222222"/>
          <w:sz w:val="24"/>
          <w:lang w:val="en-US" w:eastAsia="zh-CN"/>
        </w:rPr>
        <w:t>即</w:t>
      </w:r>
      <w:r>
        <w:rPr>
          <w:color w:val="222222"/>
          <w:sz w:val="24"/>
        </w:rPr>
        <w:t>人民币</w:t>
      </w:r>
      <w:r>
        <w:rPr>
          <w:rFonts w:hint="eastAsia" w:ascii="宋体" w:hAnsi="宋体" w:eastAsia="宋体" w:cs="宋体"/>
          <w:b/>
          <w:bCs/>
          <w:sz w:val="24"/>
          <w:szCs w:val="24"/>
          <w:u w:val="single"/>
          <w:lang w:val="en-US" w:eastAsia="zh-CN"/>
        </w:rPr>
        <w:t xml:space="preserve">      </w:t>
      </w:r>
      <w:r>
        <w:rPr>
          <w:color w:val="222222"/>
          <w:sz w:val="24"/>
        </w:rPr>
        <w:t>元</w:t>
      </w:r>
      <w:r>
        <w:rPr>
          <w:rFonts w:hint="eastAsia"/>
          <w:color w:val="222222"/>
          <w:sz w:val="24"/>
          <w:lang w:val="en-US" w:eastAsia="zh-CN"/>
        </w:rPr>
        <w:t>整</w:t>
      </w:r>
      <w:r>
        <w:rPr>
          <w:color w:val="222222"/>
          <w:sz w:val="24"/>
        </w:rPr>
        <w:t>（￥</w:t>
      </w:r>
      <w:r>
        <w:rPr>
          <w:rFonts w:hint="eastAsia" w:ascii="宋体" w:hAnsi="宋体" w:eastAsia="宋体" w:cs="宋体"/>
          <w:b/>
          <w:bCs/>
          <w:sz w:val="24"/>
          <w:szCs w:val="24"/>
          <w:u w:val="single"/>
          <w:lang w:val="en-US" w:eastAsia="zh-CN"/>
        </w:rPr>
        <w:t xml:space="preserve">      </w:t>
      </w:r>
      <w:r>
        <w:rPr>
          <w:color w:val="222222"/>
          <w:sz w:val="24"/>
        </w:rPr>
        <w:t>元）。</w:t>
      </w:r>
    </w:p>
    <w:p w14:paraId="3136B465">
      <w:pPr>
        <w:pStyle w:val="11"/>
        <w:ind w:firstLine="480"/>
      </w:pPr>
      <w:r>
        <w:rPr>
          <w:rFonts w:hint="eastAsia"/>
          <w:color w:val="222222"/>
          <w:sz w:val="24"/>
          <w:lang w:val="en-US" w:eastAsia="zh-CN"/>
        </w:rPr>
        <w:t>4</w:t>
      </w:r>
      <w:r>
        <w:rPr>
          <w:color w:val="222222"/>
          <w:sz w:val="24"/>
        </w:rPr>
        <w:t>.每次款项结算前，乙方需提供符合国家有关财税规定的等额发票。合同款包含项目实施过程的所有含税费用、首次计量或校准费用（如有）。</w:t>
      </w:r>
    </w:p>
    <w:p w14:paraId="321FC2E4">
      <w:pPr>
        <w:pStyle w:val="11"/>
        <w:ind w:firstLine="480"/>
        <w:rPr>
          <w:color w:val="222222"/>
          <w:sz w:val="24"/>
        </w:rPr>
      </w:pPr>
      <w:r>
        <w:rPr>
          <w:rFonts w:hint="eastAsia"/>
          <w:color w:val="222222"/>
          <w:sz w:val="24"/>
          <w:lang w:val="en-US" w:eastAsia="zh-CN"/>
        </w:rPr>
        <w:t>5</w:t>
      </w:r>
      <w:r>
        <w:rPr>
          <w:color w:val="222222"/>
          <w:sz w:val="24"/>
        </w:rPr>
        <w:t>.履约保证金：合同签订后5个工作日内，乙方按合同总价的5%交付履约保证金给甲方。</w:t>
      </w:r>
    </w:p>
    <w:p w14:paraId="6ABBD5D4">
      <w:pPr>
        <w:pStyle w:val="11"/>
        <w:ind w:firstLine="480"/>
      </w:pPr>
      <w:r>
        <w:rPr>
          <w:color w:val="222222"/>
          <w:sz w:val="24"/>
        </w:rPr>
        <w:t>乙方完成交付并通过甲方验收的，乙方提出申请后，甲方于60天内无息返还履约保证金。合同期内乙方违约退出的，或擅自中止履行合同超过15天或解除合同的，或因乙方原因导致甲方解除合同的，其履约保证金不予退回，且甲方无需承担任何责任。履约保证金应当以支票、汇票、本票或者金融机构、担保机构出具的保函等非现金形式提交。</w:t>
      </w:r>
    </w:p>
    <w:p w14:paraId="0214FA45">
      <w:pPr>
        <w:pStyle w:val="11"/>
      </w:pPr>
      <w:r>
        <w:rPr>
          <w:b/>
          <w:sz w:val="24"/>
        </w:rPr>
        <w:t>七、验收要求</w:t>
      </w:r>
    </w:p>
    <w:p w14:paraId="6BE93E29">
      <w:pPr>
        <w:pStyle w:val="11"/>
        <w:ind w:firstLine="480"/>
      </w:pPr>
      <w:r>
        <w:rPr>
          <w:sz w:val="24"/>
        </w:rPr>
        <w:t>项目验收要求依据甲方相关验收程序制订验收标准，包括但不限于履约情况和评价情况。</w:t>
      </w:r>
    </w:p>
    <w:p w14:paraId="4B2D6313">
      <w:pPr>
        <w:pStyle w:val="11"/>
        <w:ind w:firstLine="480"/>
      </w:pPr>
      <w:r>
        <w:rPr>
          <w:sz w:val="24"/>
        </w:rPr>
        <w:t>（一）验收主体</w:t>
      </w:r>
    </w:p>
    <w:p w14:paraId="77F70D70">
      <w:pPr>
        <w:pStyle w:val="11"/>
        <w:ind w:firstLine="480"/>
        <w:rPr>
          <w:rFonts w:hint="eastAsia" w:eastAsia="宋体"/>
          <w:lang w:eastAsia="zh-CN"/>
        </w:rPr>
      </w:pPr>
      <w:r>
        <w:rPr>
          <w:sz w:val="24"/>
        </w:rPr>
        <w:t>甲方</w:t>
      </w:r>
      <w:r>
        <w:rPr>
          <w:rFonts w:hint="eastAsia"/>
          <w:sz w:val="24"/>
          <w:lang w:eastAsia="zh-CN"/>
        </w:rPr>
        <w:t>。</w:t>
      </w:r>
    </w:p>
    <w:p w14:paraId="3EC8290D">
      <w:pPr>
        <w:pStyle w:val="11"/>
        <w:ind w:firstLine="480"/>
      </w:pPr>
      <w:r>
        <w:rPr>
          <w:sz w:val="24"/>
        </w:rPr>
        <w:t>（二）验收时间</w:t>
      </w:r>
    </w:p>
    <w:p w14:paraId="6E32F56D">
      <w:pPr>
        <w:pStyle w:val="11"/>
        <w:ind w:firstLine="480"/>
      </w:pPr>
      <w:r>
        <w:rPr>
          <w:sz w:val="24"/>
        </w:rPr>
        <w:t>自</w:t>
      </w:r>
      <w:r>
        <w:rPr>
          <w:rFonts w:hint="eastAsia"/>
          <w:sz w:val="24"/>
        </w:rPr>
        <w:t>合同签订后120个日历日内完成建设内容的硬件设备安装、软件调试、上线运行、验收工作。</w:t>
      </w:r>
    </w:p>
    <w:p w14:paraId="0DFD2EE5">
      <w:pPr>
        <w:pStyle w:val="11"/>
        <w:ind w:firstLine="480"/>
      </w:pPr>
      <w:r>
        <w:rPr>
          <w:sz w:val="24"/>
        </w:rPr>
        <w:t>（1）初步验收：系统完成部署上线试运行后，乙方向甲方提交</w:t>
      </w:r>
      <w:r>
        <w:rPr>
          <w:rFonts w:hint="eastAsia"/>
          <w:sz w:val="24"/>
          <w:lang w:val="en-US" w:eastAsia="zh-CN"/>
        </w:rPr>
        <w:t>上线申请、</w:t>
      </w:r>
      <w:r>
        <w:rPr>
          <w:sz w:val="24"/>
        </w:rPr>
        <w:t>试运行报告、培训资料等资料进行初步验收。</w:t>
      </w:r>
    </w:p>
    <w:p w14:paraId="5E2254E5">
      <w:pPr>
        <w:pStyle w:val="11"/>
        <w:ind w:firstLine="480"/>
      </w:pPr>
      <w:r>
        <w:rPr>
          <w:sz w:val="24"/>
        </w:rPr>
        <w:t>（2）终验：系统各项功能稳定运行30个日历日，完成全部合同交付内容后，经甲方组织使用科室等部门检验认可，双方签署验收报告，</w:t>
      </w:r>
      <w:r>
        <w:rPr>
          <w:rFonts w:hint="eastAsia"/>
          <w:sz w:val="24"/>
          <w:lang w:val="en-US" w:eastAsia="zh-CN"/>
        </w:rPr>
        <w:t>3</w:t>
      </w:r>
      <w:r>
        <w:rPr>
          <w:sz w:val="24"/>
        </w:rPr>
        <w:t>年保修期自签署验收合格报告之日起算。</w:t>
      </w:r>
    </w:p>
    <w:p w14:paraId="7593E531">
      <w:pPr>
        <w:pStyle w:val="11"/>
        <w:ind w:firstLine="480"/>
      </w:pPr>
      <w:r>
        <w:rPr>
          <w:sz w:val="24"/>
        </w:rPr>
        <w:t>（3）交付清单：交付清单包括但不限于设计文档、数据库表结构、用户手册等内容。</w:t>
      </w:r>
    </w:p>
    <w:p w14:paraId="729111E1">
      <w:pPr>
        <w:pStyle w:val="11"/>
        <w:ind w:firstLine="480"/>
      </w:pPr>
      <w:r>
        <w:rPr>
          <w:sz w:val="24"/>
        </w:rPr>
        <w:t>（4）当满足以下条件时，甲方才向乙方签发验收报告：</w:t>
      </w:r>
    </w:p>
    <w:p w14:paraId="22E5DD17">
      <w:pPr>
        <w:pStyle w:val="11"/>
        <w:ind w:firstLine="480"/>
      </w:pPr>
      <w:r>
        <w:rPr>
          <w:sz w:val="24"/>
        </w:rPr>
        <w:t>（4.1）乙方已按照合同规定完成全部功能部署并提交完成技术文档（包括但不限于用户操作手册、数据库结构说明等）；</w:t>
      </w:r>
    </w:p>
    <w:p w14:paraId="60E41C53">
      <w:pPr>
        <w:pStyle w:val="11"/>
        <w:ind w:firstLine="480"/>
      </w:pPr>
      <w:r>
        <w:rPr>
          <w:sz w:val="24"/>
        </w:rPr>
        <w:t>（4.2）系统功能满足招标文件和合同所列技术要求；</w:t>
      </w:r>
    </w:p>
    <w:p w14:paraId="7F3D9567">
      <w:pPr>
        <w:pStyle w:val="11"/>
        <w:ind w:firstLine="480"/>
      </w:pPr>
      <w:r>
        <w:rPr>
          <w:sz w:val="24"/>
        </w:rPr>
        <w:t>（4.3）乙方已提交验收申请报告，甲方组织使用科室等相关用户验收通过。</w:t>
      </w:r>
    </w:p>
    <w:p w14:paraId="110F3AB5">
      <w:pPr>
        <w:pStyle w:val="11"/>
        <w:ind w:firstLine="480"/>
      </w:pPr>
      <w:r>
        <w:rPr>
          <w:sz w:val="24"/>
        </w:rPr>
        <w:t>（三）验收方式</w:t>
      </w:r>
    </w:p>
    <w:p w14:paraId="73B87CD7">
      <w:pPr>
        <w:pStyle w:val="11"/>
        <w:ind w:firstLine="480"/>
        <w:rPr>
          <w:rFonts w:hint="eastAsia" w:eastAsia="宋体"/>
          <w:lang w:val="en-US" w:eastAsia="zh-CN"/>
        </w:rPr>
      </w:pPr>
      <w:r>
        <w:rPr>
          <w:sz w:val="24"/>
        </w:rPr>
        <w:t>甲方组织履约验收</w:t>
      </w:r>
      <w:r>
        <w:rPr>
          <w:rFonts w:hint="eastAsia"/>
          <w:sz w:val="24"/>
          <w:lang w:eastAsia="zh-CN"/>
        </w:rPr>
        <w:t>。</w:t>
      </w:r>
    </w:p>
    <w:p w14:paraId="0929C9FC">
      <w:pPr>
        <w:pStyle w:val="11"/>
        <w:ind w:firstLine="480"/>
      </w:pPr>
      <w:r>
        <w:rPr>
          <w:sz w:val="24"/>
        </w:rPr>
        <w:t>（四）验收内容</w:t>
      </w:r>
    </w:p>
    <w:p w14:paraId="375EE39B">
      <w:pPr>
        <w:pStyle w:val="11"/>
        <w:ind w:firstLine="480"/>
      </w:pPr>
      <w:r>
        <w:rPr>
          <w:sz w:val="24"/>
        </w:rPr>
        <w:t>1.项目服务质量情况。根据采购文件和合同规定，乙方应该完成的工作质量，实际完成的工作质量。</w:t>
      </w:r>
    </w:p>
    <w:p w14:paraId="37ABA15F">
      <w:pPr>
        <w:pStyle w:val="11"/>
        <w:ind w:firstLine="480"/>
      </w:pPr>
      <w:r>
        <w:rPr>
          <w:sz w:val="24"/>
        </w:rPr>
        <w:t>2.工作效率和履约情况。在规定时间内的完成情况，有无任务拖延滞后情况。</w:t>
      </w:r>
    </w:p>
    <w:p w14:paraId="35081272">
      <w:pPr>
        <w:pStyle w:val="11"/>
        <w:ind w:firstLine="480"/>
      </w:pPr>
      <w:r>
        <w:rPr>
          <w:sz w:val="24"/>
        </w:rPr>
        <w:t>（五）履约验收程序</w:t>
      </w:r>
    </w:p>
    <w:p w14:paraId="6DAFB58B">
      <w:pPr>
        <w:pStyle w:val="11"/>
        <w:ind w:firstLine="480"/>
      </w:pPr>
      <w:r>
        <w:rPr>
          <w:sz w:val="24"/>
        </w:rPr>
        <w:t>甲方按照采购文件中的采购需求及合同约定，对乙方服务项目进行履约验收。</w:t>
      </w:r>
    </w:p>
    <w:p w14:paraId="58F28493">
      <w:pPr>
        <w:pStyle w:val="11"/>
        <w:ind w:firstLine="480"/>
      </w:pPr>
      <w:r>
        <w:rPr>
          <w:sz w:val="24"/>
        </w:rPr>
        <w:t>（六）验收标准及后续工作</w:t>
      </w:r>
    </w:p>
    <w:p w14:paraId="16DB37DF">
      <w:pPr>
        <w:pStyle w:val="11"/>
        <w:ind w:firstLine="480"/>
      </w:pPr>
      <w:r>
        <w:rPr>
          <w:sz w:val="24"/>
        </w:rPr>
        <w:t>甲方根据采购文件的要求、采购合同的约定作为验收标准。乙方根据甲方验收意见办理结算手续。验收意见明确要求整改的，由乙方整改并经审核通过后，再办理结算手续。</w:t>
      </w:r>
    </w:p>
    <w:p w14:paraId="269F5204">
      <w:pPr>
        <w:pStyle w:val="11"/>
      </w:pPr>
      <w:r>
        <w:rPr>
          <w:rFonts w:hint="eastAsia"/>
          <w:b/>
          <w:sz w:val="24"/>
          <w:lang w:val="en-US" w:eastAsia="zh-CN"/>
        </w:rPr>
        <w:t>八</w:t>
      </w:r>
      <w:r>
        <w:rPr>
          <w:b/>
          <w:sz w:val="24"/>
        </w:rPr>
        <w:t>、项目中止与退出机制</w:t>
      </w:r>
    </w:p>
    <w:p w14:paraId="098B9665">
      <w:pPr>
        <w:pStyle w:val="11"/>
        <w:ind w:firstLine="480"/>
      </w:pPr>
      <w:r>
        <w:rPr>
          <w:color w:val="222222"/>
          <w:sz w:val="24"/>
        </w:rPr>
        <w:t>1.在项目实施过程中，如出现以下任一情况，甲方有权中止或终止项目，并据实结算已完成工作内容：</w:t>
      </w:r>
    </w:p>
    <w:p w14:paraId="620279B3">
      <w:pPr>
        <w:pStyle w:val="11"/>
        <w:ind w:firstLine="480"/>
      </w:pPr>
      <w:r>
        <w:rPr>
          <w:color w:val="222222"/>
          <w:sz w:val="24"/>
        </w:rPr>
        <w:t>（1）阶段成果连续两次未通过甲方验收；</w:t>
      </w:r>
    </w:p>
    <w:p w14:paraId="6C2FE7C7">
      <w:pPr>
        <w:pStyle w:val="11"/>
        <w:ind w:firstLine="480"/>
      </w:pPr>
      <w:r>
        <w:rPr>
          <w:color w:val="222222"/>
          <w:sz w:val="24"/>
        </w:rPr>
        <w:t>（2）系统试运行期间出现严重稳定性问题，影响业务连续运行；</w:t>
      </w:r>
    </w:p>
    <w:p w14:paraId="20DC77E9">
      <w:pPr>
        <w:pStyle w:val="11"/>
        <w:ind w:firstLine="480"/>
      </w:pPr>
      <w:r>
        <w:rPr>
          <w:color w:val="222222"/>
          <w:sz w:val="24"/>
        </w:rPr>
        <w:t>（3）项目进度严重滞后，无法按期上线；</w:t>
      </w:r>
    </w:p>
    <w:p w14:paraId="67542F12">
      <w:pPr>
        <w:pStyle w:val="11"/>
        <w:ind w:firstLine="480"/>
      </w:pPr>
      <w:r>
        <w:rPr>
          <w:color w:val="222222"/>
          <w:sz w:val="24"/>
        </w:rPr>
        <w:t>（4）乙方技术能力或团队人员无法满足合同履行要求；</w:t>
      </w:r>
    </w:p>
    <w:p w14:paraId="21CB278B">
      <w:pPr>
        <w:pStyle w:val="11"/>
        <w:ind w:firstLine="480"/>
      </w:pPr>
      <w:r>
        <w:rPr>
          <w:color w:val="222222"/>
          <w:sz w:val="24"/>
        </w:rPr>
        <w:t>（</w:t>
      </w:r>
      <w:r>
        <w:rPr>
          <w:rFonts w:hint="eastAsia"/>
          <w:color w:val="222222"/>
          <w:sz w:val="24"/>
          <w:lang w:val="en-US" w:eastAsia="zh-CN"/>
        </w:rPr>
        <w:t>5</w:t>
      </w:r>
      <w:r>
        <w:rPr>
          <w:color w:val="222222"/>
          <w:sz w:val="24"/>
        </w:rPr>
        <w:t>）甲方因政策或重大业务调整决定中止项目。</w:t>
      </w:r>
    </w:p>
    <w:p w14:paraId="0B8CE953">
      <w:pPr>
        <w:pStyle w:val="11"/>
        <w:ind w:firstLine="480"/>
      </w:pPr>
      <w:r>
        <w:rPr>
          <w:color w:val="222222"/>
          <w:sz w:val="24"/>
        </w:rPr>
        <w:t>2.项目中止后，乙方需完成所有已完成成果的资料移交、系统善后处理，甲方根据实际已交付且可用的成果部分核算应付款项，未完成部分不予支付。</w:t>
      </w:r>
    </w:p>
    <w:p w14:paraId="5A0B9E4C">
      <w:pPr>
        <w:pStyle w:val="11"/>
      </w:pPr>
      <w:r>
        <w:rPr>
          <w:rFonts w:hint="eastAsia"/>
          <w:b/>
          <w:sz w:val="24"/>
          <w:lang w:val="en-US" w:eastAsia="zh-CN"/>
        </w:rPr>
        <w:t>九</w:t>
      </w:r>
      <w:r>
        <w:rPr>
          <w:b/>
          <w:sz w:val="24"/>
        </w:rPr>
        <w:t>、知识产权归属</w:t>
      </w:r>
    </w:p>
    <w:p w14:paraId="4195A228">
      <w:pPr>
        <w:pStyle w:val="11"/>
        <w:ind w:firstLine="480"/>
      </w:pPr>
      <w:r>
        <w:rPr>
          <w:sz w:val="24"/>
        </w:rPr>
        <w:t>1.乙方向甲方提供软件服务过程中产生的知识产权归属甲方。</w:t>
      </w:r>
    </w:p>
    <w:p w14:paraId="198A42DC">
      <w:pPr>
        <w:pStyle w:val="11"/>
        <w:ind w:firstLine="480"/>
      </w:pPr>
      <w:r>
        <w:rPr>
          <w:sz w:val="24"/>
        </w:rPr>
        <w:t>2.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给甲方造成任何损失的，乙方需要负责全部赔偿。</w:t>
      </w:r>
    </w:p>
    <w:p w14:paraId="38924FBC">
      <w:pPr>
        <w:pStyle w:val="11"/>
      </w:pPr>
      <w:r>
        <w:rPr>
          <w:b/>
          <w:sz w:val="24"/>
        </w:rPr>
        <w:t>十、售后服务要求</w:t>
      </w:r>
    </w:p>
    <w:p w14:paraId="2E7C9961">
      <w:pPr>
        <w:pStyle w:val="11"/>
        <w:ind w:firstLine="480"/>
      </w:pPr>
      <w:r>
        <w:rPr>
          <w:sz w:val="24"/>
        </w:rPr>
        <w:t>1.乙方提供</w:t>
      </w:r>
      <w:r>
        <w:rPr>
          <w:rFonts w:hint="eastAsia"/>
          <w:sz w:val="24"/>
          <w:lang w:val="en-US" w:eastAsia="zh-CN"/>
        </w:rPr>
        <w:t>3</w:t>
      </w:r>
      <w:r>
        <w:rPr>
          <w:sz w:val="24"/>
        </w:rPr>
        <w:t>年保修及售后服务，时间自最终验收合格并交付使用之日起计算。在保修期内甲方提出的合理优化、性能调整请求如不涉及新增模块和重大架构变更，应在合同服务范围内由乙方提供支持（费用包含在合同金额中）。</w:t>
      </w:r>
    </w:p>
    <w:p w14:paraId="0C2D7F7F">
      <w:pPr>
        <w:pStyle w:val="11"/>
        <w:ind w:firstLine="480"/>
      </w:pPr>
      <w:r>
        <w:rPr>
          <w:sz w:val="24"/>
        </w:rPr>
        <w:t>2.</w:t>
      </w:r>
      <w:r>
        <w:rPr>
          <w:rFonts w:hint="eastAsia"/>
          <w:sz w:val="24"/>
          <w:lang w:val="en-US" w:eastAsia="zh-CN"/>
        </w:rPr>
        <w:t>3</w:t>
      </w:r>
      <w:r>
        <w:rPr>
          <w:sz w:val="24"/>
        </w:rPr>
        <w:t>年保修期内，乙方将向甲方提供售后技术支持服务，开通7</w:t>
      </w:r>
      <w:r>
        <w:rPr>
          <w:rFonts w:hint="eastAsia"/>
          <w:sz w:val="24"/>
          <w:lang w:val="en-US" w:eastAsia="zh-CN"/>
        </w:rPr>
        <w:t>×</w:t>
      </w:r>
      <w:r>
        <w:rPr>
          <w:sz w:val="24"/>
        </w:rPr>
        <w:t>24小时热线电话接受甲方的电话技术咨询。</w:t>
      </w:r>
    </w:p>
    <w:p w14:paraId="6597C7BE">
      <w:pPr>
        <w:pStyle w:val="11"/>
        <w:ind w:firstLine="480"/>
      </w:pPr>
      <w:r>
        <w:rPr>
          <w:sz w:val="24"/>
        </w:rPr>
        <w:t>3.乙方应定期对产品进行预维护保养，以防患于未然。在整个产品运行过程中，乙方帮助甲方解决在应用过程中遇到的各种技术问题。</w:t>
      </w:r>
    </w:p>
    <w:p w14:paraId="112E42BF">
      <w:pPr>
        <w:pStyle w:val="11"/>
        <w:ind w:firstLine="480"/>
      </w:pPr>
      <w:r>
        <w:rPr>
          <w:sz w:val="24"/>
        </w:rPr>
        <w:t>4.乙方工程师手机24小时开机，提供7×24小时的服务响应。</w:t>
      </w:r>
    </w:p>
    <w:p w14:paraId="09C63EB8">
      <w:pPr>
        <w:pStyle w:val="11"/>
        <w:ind w:firstLine="480"/>
      </w:pPr>
      <w:r>
        <w:rPr>
          <w:sz w:val="24"/>
        </w:rPr>
        <w:t>5.乙方工程师需根据医院要求定期对各系统进行巡检。</w:t>
      </w:r>
    </w:p>
    <w:p w14:paraId="7FD43814">
      <w:pPr>
        <w:pStyle w:val="11"/>
        <w:ind w:firstLine="480"/>
      </w:pPr>
      <w:r>
        <w:rPr>
          <w:sz w:val="24"/>
        </w:rPr>
        <w:t>6.乙方工程师未经甲方同意不得私自撤离和随意更换。对于技术水平低、服务态度差、工作不认真、责任心不强的技术人员，在甲方提出更换要求下，需立即予以更换。</w:t>
      </w:r>
    </w:p>
    <w:p w14:paraId="505141F1">
      <w:pPr>
        <w:pStyle w:val="11"/>
        <w:rPr>
          <w:highlight w:val="none"/>
        </w:rPr>
      </w:pPr>
      <w:r>
        <w:rPr>
          <w:b/>
          <w:sz w:val="24"/>
          <w:highlight w:val="none"/>
        </w:rPr>
        <w:t>十</w:t>
      </w:r>
      <w:r>
        <w:rPr>
          <w:rFonts w:hint="eastAsia"/>
          <w:b/>
          <w:sz w:val="24"/>
          <w:highlight w:val="none"/>
          <w:lang w:val="en-US" w:eastAsia="zh-CN"/>
        </w:rPr>
        <w:t>一</w:t>
      </w:r>
      <w:r>
        <w:rPr>
          <w:b/>
          <w:sz w:val="24"/>
          <w:highlight w:val="none"/>
        </w:rPr>
        <w:t>、上线及培训要求</w:t>
      </w:r>
    </w:p>
    <w:p w14:paraId="4671722D">
      <w:pPr>
        <w:pStyle w:val="11"/>
        <w:ind w:firstLine="480"/>
      </w:pPr>
      <w:r>
        <w:rPr>
          <w:sz w:val="24"/>
        </w:rPr>
        <w:t>1.乙方提供项目成员</w:t>
      </w:r>
      <w:r>
        <w:rPr>
          <w:rFonts w:hint="eastAsia"/>
          <w:sz w:val="24"/>
          <w:lang w:val="en-US" w:eastAsia="zh-CN"/>
        </w:rPr>
        <w:t>须符合甲方要求，其中项目经理需拥有5年及以上信息化软件项目实施管理经验，且持有系统集成项目管理工程师证书，或同等及以上级别资质证书；技术实施人员需具备2年及以上信息化项目相关实施经验，</w:t>
      </w:r>
      <w:r>
        <w:rPr>
          <w:sz w:val="24"/>
        </w:rPr>
        <w:t>并按要求提供对应证件及相关证明材料（社保或劳务合同）。</w:t>
      </w:r>
    </w:p>
    <w:p w14:paraId="112BD96E">
      <w:pPr>
        <w:pStyle w:val="11"/>
        <w:ind w:firstLine="480"/>
      </w:pPr>
      <w:r>
        <w:rPr>
          <w:sz w:val="24"/>
        </w:rPr>
        <w:t>2.乙方的服务工程师若在服务期间因故离场（不超过1天），需经甲方项目负责人批准方可。乙方未经甲方项目负责人同意，不得更换项目服务工程师。如遇不可抗力必须更换服务工程师，替代工程师项目经验和能力不得低于原工程师。</w:t>
      </w:r>
    </w:p>
    <w:p w14:paraId="403D7960">
      <w:pPr>
        <w:pStyle w:val="11"/>
        <w:ind w:firstLine="480"/>
      </w:pPr>
      <w:r>
        <w:rPr>
          <w:sz w:val="24"/>
        </w:rPr>
        <w:t>3.乙方负责系统上线期间的用户培训且在上线完成后为甲方培训1-2名系统维护工程师。</w:t>
      </w:r>
    </w:p>
    <w:p w14:paraId="4F82CFBF">
      <w:pPr>
        <w:pStyle w:val="11"/>
        <w:ind w:firstLine="480"/>
      </w:pPr>
      <w:r>
        <w:rPr>
          <w:sz w:val="24"/>
        </w:rPr>
        <w:t>4.乙方须提供全面培训计划和课程内容安排，培训的内容及方案应由双方协商制定，并在合同签订后征得甲方同意后实施。</w:t>
      </w:r>
    </w:p>
    <w:p w14:paraId="015F33B2">
      <w:pPr>
        <w:pStyle w:val="11"/>
        <w:ind w:firstLine="480"/>
      </w:pPr>
      <w:r>
        <w:rPr>
          <w:sz w:val="24"/>
        </w:rPr>
        <w:t>5.乙方须提供高水平的培训。培训地点、人数、天数，由乙方列出具体计划并安排实施。</w:t>
      </w:r>
    </w:p>
    <w:p w14:paraId="14306124">
      <w:pPr>
        <w:pStyle w:val="11"/>
        <w:ind w:firstLine="480"/>
      </w:pPr>
      <w:r>
        <w:rPr>
          <w:sz w:val="24"/>
        </w:rPr>
        <w:t>6.培训应包括常见故障现象及诊断、常见的问题及解决办法、操作系统软件、系统管理等。</w:t>
      </w:r>
    </w:p>
    <w:p w14:paraId="58C59FE7">
      <w:pPr>
        <w:pStyle w:val="11"/>
        <w:ind w:firstLine="480"/>
      </w:pPr>
      <w:r>
        <w:rPr>
          <w:sz w:val="24"/>
        </w:rPr>
        <w:t>7.乙方前来进行技术培训人员的费用包括在合同总价中。</w:t>
      </w:r>
    </w:p>
    <w:p w14:paraId="47B27C51">
      <w:pPr>
        <w:pStyle w:val="11"/>
      </w:pPr>
      <w:r>
        <w:rPr>
          <w:b/>
          <w:sz w:val="24"/>
        </w:rPr>
        <w:t>十</w:t>
      </w:r>
      <w:r>
        <w:rPr>
          <w:rFonts w:hint="eastAsia"/>
          <w:b/>
          <w:sz w:val="24"/>
          <w:lang w:val="en-US" w:eastAsia="zh-CN"/>
        </w:rPr>
        <w:t>二</w:t>
      </w:r>
      <w:r>
        <w:rPr>
          <w:b/>
          <w:sz w:val="24"/>
        </w:rPr>
        <w:t>、保密条款</w:t>
      </w:r>
    </w:p>
    <w:p w14:paraId="0B833E75">
      <w:pPr>
        <w:pStyle w:val="11"/>
        <w:ind w:firstLine="480"/>
        <w:rPr>
          <w:rFonts w:hint="eastAsia" w:eastAsia="宋体"/>
          <w:lang w:eastAsia="zh-CN"/>
        </w:rPr>
      </w:pPr>
      <w:r>
        <w:rPr>
          <w:color w:val="000000"/>
          <w:sz w:val="24"/>
        </w:rPr>
        <w:t>1.乙方应对在履行本合同过程中获知的对方商业秘密和信息予以保密。未经授权，不得擅自公开、复制，并防止因管理不善造成的信息泄露，否则由此给甲方造成的一切损失由乙方承担</w:t>
      </w:r>
      <w:r>
        <w:rPr>
          <w:rFonts w:hint="eastAsia"/>
          <w:color w:val="000000"/>
          <w:sz w:val="24"/>
          <w:lang w:eastAsia="zh-CN"/>
        </w:rPr>
        <w:t>。</w:t>
      </w:r>
    </w:p>
    <w:p w14:paraId="35E86DCD">
      <w:pPr>
        <w:pStyle w:val="11"/>
        <w:ind w:firstLine="480"/>
      </w:pPr>
      <w:r>
        <w:rPr>
          <w:color w:val="000000"/>
          <w:sz w:val="24"/>
        </w:rPr>
        <w:t>2.此保密条款不因本合同的终止而失效。任何一方由于违反保密协议条款而造成对方秘密信息泄露</w:t>
      </w:r>
      <w:r>
        <w:rPr>
          <w:rFonts w:hint="eastAsia"/>
          <w:color w:val="000000"/>
          <w:sz w:val="24"/>
          <w:lang w:eastAsia="zh-CN"/>
        </w:rPr>
        <w:t>，</w:t>
      </w:r>
      <w:r>
        <w:rPr>
          <w:color w:val="000000"/>
          <w:sz w:val="24"/>
        </w:rPr>
        <w:t>应承担相应的法律责任，并赔偿由此给对方造成的损失。</w:t>
      </w:r>
    </w:p>
    <w:p w14:paraId="6CA92B15">
      <w:pPr>
        <w:pStyle w:val="11"/>
      </w:pPr>
      <w:r>
        <w:rPr>
          <w:b/>
          <w:sz w:val="24"/>
        </w:rPr>
        <w:t>十</w:t>
      </w:r>
      <w:r>
        <w:rPr>
          <w:rFonts w:hint="eastAsia"/>
          <w:b/>
          <w:sz w:val="24"/>
          <w:lang w:val="en-US" w:eastAsia="zh-CN"/>
        </w:rPr>
        <w:t>三</w:t>
      </w:r>
      <w:r>
        <w:rPr>
          <w:b/>
          <w:sz w:val="24"/>
        </w:rPr>
        <w:t>、违约责任与赔偿损失</w:t>
      </w:r>
    </w:p>
    <w:p w14:paraId="57E77A2C">
      <w:pPr>
        <w:pStyle w:val="11"/>
        <w:ind w:firstLine="480"/>
      </w:pPr>
      <w:r>
        <w:rPr>
          <w:color w:val="222222"/>
          <w:sz w:val="24"/>
        </w:rPr>
        <w:t>1.乙方须保证提交的检查报告</w:t>
      </w:r>
      <w:r>
        <w:rPr>
          <w:rFonts w:hint="eastAsia"/>
          <w:color w:val="222222"/>
          <w:sz w:val="24"/>
          <w:lang w:val="en-US" w:eastAsia="zh-CN"/>
        </w:rPr>
        <w:t>等</w:t>
      </w:r>
      <w:r>
        <w:rPr>
          <w:color w:val="222222"/>
          <w:sz w:val="24"/>
        </w:rPr>
        <w:t>真实有效，若存在弄虚作假行为，甲方有权终止合同、追回已支付费用，并对乙方进行合同金额30%处罚。</w:t>
      </w:r>
    </w:p>
    <w:p w14:paraId="1AD0EC51">
      <w:pPr>
        <w:pStyle w:val="11"/>
        <w:ind w:firstLine="480"/>
      </w:pPr>
      <w:r>
        <w:rPr>
          <w:color w:val="222222"/>
          <w:sz w:val="24"/>
        </w:rPr>
        <w:t>2.因乙方未及时整改安全漏洞，导致甲方出现通报、处罚、业务中断、数据安全事件等情况的，所有责任及相关损失均由乙方承担。</w:t>
      </w:r>
    </w:p>
    <w:p w14:paraId="3BEF00F1">
      <w:pPr>
        <w:pStyle w:val="11"/>
        <w:ind w:firstLine="480"/>
      </w:pPr>
      <w:r>
        <w:rPr>
          <w:color w:val="222222"/>
          <w:sz w:val="24"/>
        </w:rPr>
        <w:t>3.乙方拒不配合漏洞整改、拖延整改，或整改后仍不合格的，甲方有权暂停支付相关费用、扣除合同金额20%费用、追究乙方违约责任，并保留进一步追责的权利。</w:t>
      </w:r>
    </w:p>
    <w:p w14:paraId="0AAFD30F">
      <w:pPr>
        <w:pStyle w:val="11"/>
        <w:ind w:firstLine="480"/>
      </w:pPr>
      <w:r>
        <w:rPr>
          <w:color w:val="222222"/>
          <w:sz w:val="24"/>
        </w:rPr>
        <w:t>4.乙方提供的服务不符合本合同规定的，甲方有权拒绝接受服务并通知乙方，乙方须向甲方支付本合同总价5%的违约金，甲方有权优先从履约保证金中扣除。</w:t>
      </w:r>
    </w:p>
    <w:p w14:paraId="00E8C691">
      <w:pPr>
        <w:pStyle w:val="11"/>
        <w:ind w:firstLine="480"/>
      </w:pPr>
      <w:r>
        <w:rPr>
          <w:color w:val="222222"/>
          <w:sz w:val="24"/>
        </w:rPr>
        <w:t>5.乙方承诺的项目团队未经甲方允许，未在合同签订后10个日历天内到甲方现场，从合同约定的进场日期起，如逾期进场，或出现在甲方工作时间内早退，将按照合同签订总价的0.1‰向甲方支付违约金。</w:t>
      </w:r>
    </w:p>
    <w:p w14:paraId="5885DB2E">
      <w:pPr>
        <w:pStyle w:val="11"/>
        <w:ind w:firstLine="480"/>
      </w:pPr>
      <w:r>
        <w:rPr>
          <w:color w:val="222222"/>
          <w:sz w:val="24"/>
        </w:rPr>
        <w:t>6.甲方无正当理由拒收接受服务、到期拒付服务款项的，</w:t>
      </w:r>
      <w:r>
        <w:rPr>
          <w:sz w:val="24"/>
        </w:rPr>
        <w:t>经乙方书面催告后7个工作日内甲方仍拒付款项的，</w:t>
      </w:r>
      <w:r>
        <w:rPr>
          <w:color w:val="222222"/>
          <w:sz w:val="24"/>
        </w:rPr>
        <w:t>甲方向乙方偿付本合同总价5%的违约金。甲方未按照约定日期支付价款的，每逾期一日按本合同总价的3‰向乙方偿付违约金。</w:t>
      </w:r>
    </w:p>
    <w:p w14:paraId="2CF3075D">
      <w:pPr>
        <w:pStyle w:val="11"/>
        <w:ind w:firstLine="480"/>
      </w:pPr>
      <w:r>
        <w:rPr>
          <w:b/>
          <w:color w:val="222222"/>
          <w:sz w:val="24"/>
        </w:rPr>
        <w:t>7.项目延期处罚</w:t>
      </w:r>
    </w:p>
    <w:p w14:paraId="2918E2BA">
      <w:pPr>
        <w:pStyle w:val="11"/>
        <w:ind w:firstLine="480"/>
      </w:pPr>
      <w:r>
        <w:rPr>
          <w:rFonts w:hint="eastAsia"/>
          <w:color w:val="222222"/>
          <w:sz w:val="24"/>
        </w:rPr>
        <w:t>乙方未按合同约定工期完成系统上线、交付及全部服务内容，每逾期一日，乙方按合同总金额的3‰向甲方支付违约金；逾期超过30日的，甲方有权单方解除合同，乙方除承担违约金外，还需赔偿甲方因此遭受的全部损失。</w:t>
      </w:r>
    </w:p>
    <w:p w14:paraId="626F2C9E">
      <w:pPr>
        <w:pStyle w:val="11"/>
        <w:ind w:firstLine="480"/>
      </w:pPr>
      <w:r>
        <w:rPr>
          <w:b/>
          <w:color w:val="222222"/>
          <w:sz w:val="24"/>
        </w:rPr>
        <w:t>8.项目人员配置/驻场不达标处罚</w:t>
      </w:r>
    </w:p>
    <w:p w14:paraId="23BF8404">
      <w:pPr>
        <w:pStyle w:val="11"/>
        <w:ind w:firstLine="480"/>
      </w:pPr>
      <w:r>
        <w:rPr>
          <w:color w:val="222222"/>
          <w:sz w:val="24"/>
        </w:rPr>
        <w:t>①乙方派驻人员未按要求配齐对应资质证书、佐证材料，或人员专业资质、岗位能力不符合合同约定的，甲方有权要求乙方3</w:t>
      </w:r>
      <w:r>
        <w:rPr>
          <w:rFonts w:hint="eastAsia"/>
          <w:color w:val="222222"/>
          <w:sz w:val="24"/>
          <w:lang w:val="en-US" w:eastAsia="zh-CN"/>
        </w:rPr>
        <w:t>个</w:t>
      </w:r>
      <w:r>
        <w:rPr>
          <w:color w:val="222222"/>
          <w:sz w:val="24"/>
        </w:rPr>
        <w:t>工作日内完成整改；逾期未整改的，每次按合同总金额的20%支付违约金。</w:t>
      </w:r>
    </w:p>
    <w:p w14:paraId="292F391B">
      <w:pPr>
        <w:pStyle w:val="11"/>
        <w:ind w:firstLine="480"/>
      </w:pPr>
      <w:r>
        <w:rPr>
          <w:color w:val="222222"/>
          <w:sz w:val="24"/>
        </w:rPr>
        <w:t>②乙方擅自更换项目服务工程师、未经批准私自离岗，或驻场人员在岗时长、到岗人数未达到双方约定标准的，甲方有权要求乙方立即纠正，单次违规按5000元/人次计收违约金；累计违规达3次，甲方有权扣除部分合同款项，并要求乙方重新调配合格人员进场。</w:t>
      </w:r>
    </w:p>
    <w:p w14:paraId="61CF1ABD">
      <w:pPr>
        <w:pStyle w:val="11"/>
        <w:ind w:firstLine="480"/>
      </w:pPr>
      <w:r>
        <w:rPr>
          <w:color w:val="222222"/>
          <w:sz w:val="24"/>
        </w:rPr>
        <w:t>③因乙方人员配置、驻场管理不达标造成项目停滞、服务中断的，乙方承担全部责任，并另行赔偿甲方实际损失。</w:t>
      </w:r>
    </w:p>
    <w:p w14:paraId="4BC7382B">
      <w:pPr>
        <w:pStyle w:val="11"/>
        <w:ind w:firstLine="480"/>
      </w:pPr>
      <w:r>
        <w:rPr>
          <w:b/>
          <w:color w:val="222222"/>
          <w:sz w:val="24"/>
        </w:rPr>
        <w:t>9.核心功能未达标的违约责任</w:t>
      </w:r>
    </w:p>
    <w:p w14:paraId="438AFB0C">
      <w:pPr>
        <w:pStyle w:val="11"/>
        <w:ind w:firstLine="480"/>
      </w:pPr>
      <w:r>
        <w:rPr>
          <w:color w:val="222222"/>
          <w:sz w:val="24"/>
        </w:rPr>
        <w:t>9.1核心功能范围界定</w:t>
      </w:r>
    </w:p>
    <w:p w14:paraId="602B3983">
      <w:pPr>
        <w:pStyle w:val="11"/>
        <w:ind w:firstLine="480"/>
      </w:pPr>
      <w:r>
        <w:rPr>
          <w:color w:val="222222"/>
          <w:sz w:val="24"/>
        </w:rPr>
        <w:t>双方确认，本合同项下乙方须实现的核心功能（下称“核心功能”）以招标文件/采购需求书中标明的以下内容为准：</w:t>
      </w:r>
    </w:p>
    <w:p w14:paraId="7DB3C336">
      <w:pPr>
        <w:pStyle w:val="11"/>
        <w:ind w:firstLine="480"/>
      </w:pPr>
      <w:r>
        <w:rPr>
          <w:color w:val="222222"/>
          <w:sz w:val="24"/>
        </w:rPr>
        <w:t>（1）核心功能如下</w:t>
      </w:r>
    </w:p>
    <w:p w14:paraId="24EDB557">
      <w:pPr>
        <w:pStyle w:val="11"/>
        <w:ind w:firstLine="480"/>
      </w:pPr>
      <w:r>
        <w:rPr>
          <w:color w:val="222222"/>
          <w:sz w:val="24"/>
        </w:rPr>
        <w:t>功能模块一：【</w:t>
      </w:r>
      <w:r>
        <w:rPr>
          <w:rFonts w:hint="eastAsia"/>
          <w:color w:val="222222"/>
          <w:sz w:val="24"/>
        </w:rPr>
        <w:t>云胶片基础应用</w:t>
      </w:r>
      <w:r>
        <w:rPr>
          <w:color w:val="222222"/>
          <w:sz w:val="24"/>
        </w:rPr>
        <w:t>】</w:t>
      </w:r>
    </w:p>
    <w:p w14:paraId="3C58A778">
      <w:pPr>
        <w:pStyle w:val="11"/>
        <w:ind w:firstLine="480"/>
      </w:pPr>
      <w:r>
        <w:rPr>
          <w:color w:val="222222"/>
          <w:sz w:val="24"/>
        </w:rPr>
        <w:t>功能模块二：【</w:t>
      </w:r>
      <w:r>
        <w:rPr>
          <w:rFonts w:hint="eastAsia"/>
          <w:color w:val="222222"/>
          <w:sz w:val="24"/>
        </w:rPr>
        <w:t>云胶片数据管理应用</w:t>
      </w:r>
      <w:r>
        <w:rPr>
          <w:color w:val="222222"/>
          <w:sz w:val="24"/>
        </w:rPr>
        <w:t>】</w:t>
      </w:r>
    </w:p>
    <w:p w14:paraId="5EE68773">
      <w:pPr>
        <w:pStyle w:val="11"/>
        <w:ind w:firstLine="480"/>
      </w:pPr>
      <w:r>
        <w:rPr>
          <w:color w:val="222222"/>
          <w:sz w:val="24"/>
        </w:rPr>
        <w:t>功能模块三：【</w:t>
      </w:r>
      <w:r>
        <w:rPr>
          <w:rFonts w:hint="eastAsia"/>
          <w:color w:val="222222"/>
          <w:sz w:val="24"/>
        </w:rPr>
        <w:t>云胶片系统应用</w:t>
      </w:r>
      <w:r>
        <w:rPr>
          <w:color w:val="222222"/>
          <w:sz w:val="24"/>
        </w:rPr>
        <w:t>】</w:t>
      </w:r>
    </w:p>
    <w:p w14:paraId="55776A45">
      <w:pPr>
        <w:pStyle w:val="11"/>
        <w:ind w:firstLine="480"/>
      </w:pPr>
      <w:r>
        <w:rPr>
          <w:color w:val="222222"/>
          <w:sz w:val="24"/>
        </w:rPr>
        <w:t>功能模块四：【</w:t>
      </w:r>
      <w:r>
        <w:rPr>
          <w:rFonts w:hint="eastAsia"/>
          <w:color w:val="222222"/>
          <w:sz w:val="24"/>
        </w:rPr>
        <w:t>医生端应用</w:t>
      </w:r>
      <w:r>
        <w:rPr>
          <w:color w:val="222222"/>
          <w:sz w:val="24"/>
        </w:rPr>
        <w:t>】</w:t>
      </w:r>
    </w:p>
    <w:p w14:paraId="3D9FC894">
      <w:pPr>
        <w:pStyle w:val="11"/>
        <w:ind w:firstLine="480"/>
      </w:pPr>
      <w:r>
        <w:rPr>
          <w:color w:val="222222"/>
          <w:sz w:val="24"/>
        </w:rPr>
        <w:t>功能模块五：【</w:t>
      </w:r>
      <w:r>
        <w:rPr>
          <w:rFonts w:hint="eastAsia"/>
          <w:color w:val="222222"/>
          <w:sz w:val="24"/>
        </w:rPr>
        <w:t>移动影像设备</w:t>
      </w:r>
      <w:r>
        <w:rPr>
          <w:color w:val="222222"/>
          <w:sz w:val="24"/>
        </w:rPr>
        <w:t>】</w:t>
      </w:r>
    </w:p>
    <w:p w14:paraId="0C72605C">
      <w:pPr>
        <w:pStyle w:val="11"/>
        <w:ind w:firstLine="480"/>
      </w:pPr>
      <w:r>
        <w:rPr>
          <w:color w:val="222222"/>
          <w:sz w:val="24"/>
        </w:rPr>
        <w:t>功能模块六：【</w:t>
      </w:r>
      <w:r>
        <w:rPr>
          <w:rFonts w:hint="eastAsia"/>
          <w:color w:val="222222"/>
          <w:sz w:val="24"/>
        </w:rPr>
        <w:t>本地存储部署配套</w:t>
      </w:r>
      <w:r>
        <w:rPr>
          <w:color w:val="222222"/>
          <w:sz w:val="24"/>
        </w:rPr>
        <w:t>】</w:t>
      </w:r>
    </w:p>
    <w:p w14:paraId="2C4F6D32">
      <w:pPr>
        <w:pStyle w:val="11"/>
        <w:ind w:firstLine="480"/>
        <w:rPr>
          <w:rFonts w:hint="eastAsia" w:eastAsia="宋体"/>
          <w:lang w:eastAsia="zh-CN"/>
        </w:rPr>
      </w:pPr>
      <w:r>
        <w:rPr>
          <w:color w:val="222222"/>
          <w:sz w:val="24"/>
        </w:rPr>
        <w:t>以上功能模块内容具体要求见</w:t>
      </w:r>
      <w:r>
        <w:rPr>
          <w:rFonts w:hint="eastAsia"/>
          <w:color w:val="222222"/>
          <w:sz w:val="24"/>
          <w:lang w:val="en-US" w:eastAsia="zh-CN"/>
        </w:rPr>
        <w:t>附件</w:t>
      </w:r>
      <w:r>
        <w:rPr>
          <w:rFonts w:hint="eastAsia"/>
          <w:color w:val="222222"/>
          <w:sz w:val="24"/>
          <w:lang w:eastAsia="zh-CN"/>
        </w:rPr>
        <w:t>。</w:t>
      </w:r>
    </w:p>
    <w:p w14:paraId="459F6B38">
      <w:pPr>
        <w:pStyle w:val="11"/>
        <w:ind w:firstLine="480"/>
      </w:pPr>
      <w:r>
        <w:rPr>
          <w:color w:val="222222"/>
          <w:sz w:val="24"/>
        </w:rPr>
        <w:t>9.2验收标准</w:t>
      </w:r>
    </w:p>
    <w:p w14:paraId="0163DA45">
      <w:pPr>
        <w:pStyle w:val="11"/>
        <w:ind w:firstLine="480"/>
      </w:pPr>
      <w:r>
        <w:rPr>
          <w:color w:val="222222"/>
          <w:sz w:val="24"/>
        </w:rPr>
        <w:t>上述核心功能须在系统上线验收时全部实现并通过甲方测试验证，具体验收标准以需求书及双方确认的技术方案为准。</w:t>
      </w:r>
    </w:p>
    <w:p w14:paraId="0DDA33DD">
      <w:pPr>
        <w:pStyle w:val="11"/>
        <w:ind w:firstLine="480"/>
      </w:pPr>
      <w:r>
        <w:rPr>
          <w:color w:val="222222"/>
          <w:sz w:val="24"/>
        </w:rPr>
        <w:t>9.3未达标的处罚机制</w:t>
      </w:r>
    </w:p>
    <w:p w14:paraId="6D4FCD6B">
      <w:pPr>
        <w:pStyle w:val="11"/>
        <w:ind w:firstLine="480"/>
      </w:pPr>
      <w:r>
        <w:rPr>
          <w:color w:val="222222"/>
          <w:sz w:val="24"/>
        </w:rPr>
        <w:t>若经最终验收，任一核心功能未实现、未完整实现、或与需求书约定存在重大偏离（包括但不限于功能缺失、性能指标不达标、无法稳定运行等），甲方有权按以下方式处理：</w:t>
      </w:r>
    </w:p>
    <w:p w14:paraId="3E973097">
      <w:pPr>
        <w:pStyle w:val="11"/>
        <w:ind w:firstLine="480"/>
      </w:pPr>
      <w:r>
        <w:rPr>
          <w:color w:val="222222"/>
          <w:sz w:val="24"/>
        </w:rPr>
        <w:t>（1）扣减款项：每项核心功能未达标，甲方有权扣减合同总金额【5】%的款项，扣减金额可累计计算。</w:t>
      </w:r>
    </w:p>
    <w:p w14:paraId="0865A3F5">
      <w:pPr>
        <w:pStyle w:val="11"/>
        <w:ind w:firstLine="480"/>
      </w:pPr>
      <w:r>
        <w:rPr>
          <w:color w:val="222222"/>
          <w:sz w:val="24"/>
        </w:rPr>
        <w:t>（2）限期整改：甲方给予乙方【30】个日历天的整改期限。整改期满仍无法实现该核心功能的，甲方有权按本款第（3）项执行。</w:t>
      </w:r>
    </w:p>
    <w:p w14:paraId="79165302">
      <w:pPr>
        <w:pStyle w:val="11"/>
        <w:ind w:firstLine="480"/>
      </w:pPr>
      <w:r>
        <w:rPr>
          <w:color w:val="222222"/>
          <w:sz w:val="24"/>
        </w:rPr>
        <w:t>（3）终止合同及全面处罚：出现以下任一情形的，甲方有权单方解除合同，乙方应退还甲方已支付的全部款项，并按合同总金额的【20】%向甲方支付违约金，同时赔偿甲方因此遭受的全部损失：</w:t>
      </w:r>
    </w:p>
    <w:p w14:paraId="679F3EEE">
      <w:pPr>
        <w:pStyle w:val="11"/>
        <w:ind w:firstLine="480"/>
      </w:pPr>
      <w:r>
        <w:rPr>
          <w:color w:val="222222"/>
          <w:sz w:val="24"/>
        </w:rPr>
        <w:t>①核心功能未达标项数累计达到【</w:t>
      </w:r>
      <w:r>
        <w:rPr>
          <w:rFonts w:hint="eastAsia"/>
          <w:color w:val="222222"/>
          <w:sz w:val="24"/>
          <w:lang w:val="en-US" w:eastAsia="zh-CN"/>
        </w:rPr>
        <w:t>3</w:t>
      </w:r>
      <w:r>
        <w:rPr>
          <w:color w:val="222222"/>
          <w:sz w:val="24"/>
        </w:rPr>
        <w:t>】项；</w:t>
      </w:r>
    </w:p>
    <w:p w14:paraId="283D2934">
      <w:pPr>
        <w:pStyle w:val="11"/>
        <w:ind w:firstLine="480"/>
      </w:pPr>
      <w:r>
        <w:rPr>
          <w:color w:val="222222"/>
          <w:sz w:val="24"/>
        </w:rPr>
        <w:t>②经整改后，仍有任一核心功能无法实现；</w:t>
      </w:r>
    </w:p>
    <w:p w14:paraId="5D8AAAC2">
      <w:pPr>
        <w:pStyle w:val="11"/>
        <w:ind w:firstLine="480"/>
      </w:pPr>
      <w:r>
        <w:rPr>
          <w:color w:val="222222"/>
          <w:sz w:val="24"/>
        </w:rPr>
        <w:t>③核心功能的缺失导致系统整体无法达成合同目的，或无法通过甲方最终验收。</w:t>
      </w:r>
    </w:p>
    <w:p w14:paraId="77190443">
      <w:pPr>
        <w:pStyle w:val="11"/>
        <w:ind w:firstLine="480"/>
      </w:pPr>
      <w:r>
        <w:rPr>
          <w:color w:val="222222"/>
          <w:sz w:val="24"/>
        </w:rPr>
        <w:t>9.4权利保留</w:t>
      </w:r>
    </w:p>
    <w:p w14:paraId="7E77341F">
      <w:pPr>
        <w:pStyle w:val="11"/>
        <w:ind w:firstLine="480"/>
      </w:pPr>
      <w:r>
        <w:rPr>
          <w:color w:val="222222"/>
          <w:sz w:val="24"/>
        </w:rPr>
        <w:t>甲方依据本条款解除合同的，不影响甲方依据本合同其他条款及法律法规向乙方主张违约责任及赔偿损失的权利。</w:t>
      </w:r>
    </w:p>
    <w:p w14:paraId="3059D0DF">
      <w:pPr>
        <w:pStyle w:val="11"/>
        <w:ind w:firstLine="480"/>
      </w:pPr>
      <w:r>
        <w:rPr>
          <w:color w:val="222222"/>
          <w:sz w:val="24"/>
        </w:rPr>
        <w:t>10.其他违约责任按照《中华人民共和国民法典（合同编）》处理。</w:t>
      </w:r>
    </w:p>
    <w:p w14:paraId="534636AA">
      <w:pPr>
        <w:pStyle w:val="11"/>
        <w:ind w:firstLine="480"/>
      </w:pPr>
      <w:r>
        <w:rPr>
          <w:color w:val="222222"/>
          <w:sz w:val="24"/>
        </w:rPr>
        <w:t>11.乙方应充分了解甲方的需求及实际情况，如签订合同后无法达到甲方的合同要求，且经补救后仍无法实现甲方合同目的的，甲方有权终止合同，且乙方所有投入归甲方所有。</w:t>
      </w:r>
    </w:p>
    <w:p w14:paraId="7152EFB2">
      <w:pPr>
        <w:pStyle w:val="11"/>
      </w:pPr>
      <w:r>
        <w:rPr>
          <w:b/>
          <w:sz w:val="24"/>
        </w:rPr>
        <w:t>十</w:t>
      </w:r>
      <w:r>
        <w:rPr>
          <w:rFonts w:hint="eastAsia"/>
          <w:b/>
          <w:sz w:val="24"/>
          <w:lang w:val="en-US" w:eastAsia="zh-CN"/>
        </w:rPr>
        <w:t>四</w:t>
      </w:r>
      <w:r>
        <w:rPr>
          <w:b/>
          <w:sz w:val="24"/>
        </w:rPr>
        <w:t>、争议的解决</w:t>
      </w:r>
    </w:p>
    <w:p w14:paraId="679C6235">
      <w:pPr>
        <w:pStyle w:val="11"/>
        <w:ind w:firstLine="400"/>
      </w:pPr>
      <w:r>
        <w:rPr>
          <w:color w:val="222222"/>
          <w:sz w:val="24"/>
        </w:rPr>
        <w:t>合同执行过程中发生的任何争议，如双方不能通过友好协商解决，任何一方均有权向甲方所在地有管辖权的人民法院提起诉讼。</w:t>
      </w:r>
    </w:p>
    <w:p w14:paraId="2E992AAD">
      <w:pPr>
        <w:pStyle w:val="11"/>
      </w:pPr>
      <w:r>
        <w:rPr>
          <w:b/>
          <w:sz w:val="24"/>
        </w:rPr>
        <w:t>十</w:t>
      </w:r>
      <w:r>
        <w:rPr>
          <w:rFonts w:hint="eastAsia"/>
          <w:b/>
          <w:sz w:val="24"/>
          <w:lang w:val="en-US" w:eastAsia="zh-CN"/>
        </w:rPr>
        <w:t>五</w:t>
      </w:r>
      <w:r>
        <w:rPr>
          <w:b/>
          <w:sz w:val="24"/>
        </w:rPr>
        <w:t>、不可抗力</w:t>
      </w:r>
    </w:p>
    <w:p w14:paraId="61B8FE5A">
      <w:pPr>
        <w:pStyle w:val="11"/>
        <w:ind w:firstLine="480"/>
      </w:pPr>
      <w:r>
        <w:rPr>
          <w:color w:val="222222"/>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AFFA0B5">
      <w:pPr>
        <w:pStyle w:val="11"/>
      </w:pPr>
      <w:r>
        <w:rPr>
          <w:b/>
          <w:sz w:val="24"/>
        </w:rPr>
        <w:t>十</w:t>
      </w:r>
      <w:r>
        <w:rPr>
          <w:rFonts w:hint="eastAsia"/>
          <w:b/>
          <w:sz w:val="24"/>
          <w:lang w:val="en-US" w:eastAsia="zh-CN"/>
        </w:rPr>
        <w:t>六</w:t>
      </w:r>
      <w:r>
        <w:rPr>
          <w:b/>
          <w:sz w:val="24"/>
        </w:rPr>
        <w:t>、税费</w:t>
      </w:r>
    </w:p>
    <w:p w14:paraId="1FC4B598">
      <w:pPr>
        <w:pStyle w:val="11"/>
        <w:ind w:firstLine="480"/>
      </w:pPr>
      <w:r>
        <w:rPr>
          <w:color w:val="222222"/>
          <w:sz w:val="24"/>
        </w:rPr>
        <w:t>在中国境内、外发生的与本合同执行有关的一切税费均由乙方负担。</w:t>
      </w:r>
    </w:p>
    <w:p w14:paraId="4FD24E4E">
      <w:pPr>
        <w:pStyle w:val="11"/>
      </w:pPr>
      <w:r>
        <w:rPr>
          <w:b/>
          <w:sz w:val="24"/>
        </w:rPr>
        <w:t>十</w:t>
      </w:r>
      <w:r>
        <w:rPr>
          <w:rFonts w:hint="eastAsia"/>
          <w:b/>
          <w:sz w:val="24"/>
          <w:lang w:val="en-US" w:eastAsia="zh-CN"/>
        </w:rPr>
        <w:t>七</w:t>
      </w:r>
      <w:r>
        <w:rPr>
          <w:b/>
          <w:sz w:val="24"/>
        </w:rPr>
        <w:t>、其他</w:t>
      </w:r>
    </w:p>
    <w:p w14:paraId="77E141F0">
      <w:pPr>
        <w:pStyle w:val="11"/>
        <w:ind w:firstLine="480"/>
      </w:pPr>
      <w:r>
        <w:rPr>
          <w:color w:val="222222"/>
          <w:sz w:val="24"/>
        </w:rPr>
        <w:t>1.本合同所有附件、招标文件、投标文件、中标通知书均为本合同的有效组成部分，与本合同具有同等法律效力。</w:t>
      </w:r>
    </w:p>
    <w:p w14:paraId="244E893E">
      <w:pPr>
        <w:pStyle w:val="11"/>
        <w:ind w:firstLine="480"/>
      </w:pPr>
      <w:r>
        <w:rPr>
          <w:color w:val="222222"/>
          <w:sz w:val="24"/>
        </w:rPr>
        <w:t>2.在执行本合同的过程中，所有经双方签署确认的文件（包括会议纪要、补充协议、往来信函）即成为本合同的有效组成部分，与本合同具有同等法律效力。</w:t>
      </w:r>
    </w:p>
    <w:p w14:paraId="784B68B8">
      <w:pPr>
        <w:pStyle w:val="11"/>
        <w:ind w:firstLine="480"/>
      </w:pPr>
      <w:r>
        <w:rPr>
          <w:color w:val="222222"/>
          <w:sz w:val="24"/>
        </w:rPr>
        <w:t>3.如一方地址、电话、传真号码有变更，应在变更当日书面通知对方，否则应承担相应责任。</w:t>
      </w:r>
    </w:p>
    <w:p w14:paraId="6F88332C">
      <w:pPr>
        <w:pStyle w:val="11"/>
        <w:ind w:firstLine="480"/>
      </w:pPr>
      <w:r>
        <w:rPr>
          <w:color w:val="222222"/>
          <w:sz w:val="24"/>
        </w:rPr>
        <w:t>4.除甲方事先书面同意外，乙方不得部分或全部转让其应履行的合同项下的义务，否则由此造成的损失由乙方承担。</w:t>
      </w:r>
    </w:p>
    <w:p w14:paraId="09F87D16">
      <w:pPr>
        <w:pStyle w:val="11"/>
      </w:pPr>
      <w:r>
        <w:rPr>
          <w:b/>
          <w:sz w:val="24"/>
        </w:rPr>
        <w:t>十九、合同生效</w:t>
      </w:r>
    </w:p>
    <w:p w14:paraId="5C6FC3DE">
      <w:pPr>
        <w:pStyle w:val="11"/>
        <w:ind w:firstLine="480"/>
      </w:pPr>
      <w:r>
        <w:rPr>
          <w:color w:val="222222"/>
          <w:sz w:val="24"/>
        </w:rPr>
        <w:t>1.本合同在甲乙双方法定代表人或其授权代表签字盖章后生效。</w:t>
      </w:r>
    </w:p>
    <w:p w14:paraId="75A149D7">
      <w:pPr>
        <w:pStyle w:val="11"/>
        <w:ind w:firstLine="480"/>
      </w:pPr>
      <w:r>
        <w:rPr>
          <w:color w:val="222222"/>
          <w:sz w:val="24"/>
        </w:rPr>
        <w:t>2.合同一式</w:t>
      </w:r>
      <w:r>
        <w:rPr>
          <w:rFonts w:hint="eastAsia"/>
          <w:color w:val="222222"/>
          <w:sz w:val="24"/>
          <w:u w:val="single"/>
          <w:lang w:val="en-US" w:eastAsia="zh-CN"/>
        </w:rPr>
        <w:t>陆</w:t>
      </w:r>
      <w:r>
        <w:rPr>
          <w:color w:val="222222"/>
          <w:sz w:val="24"/>
        </w:rPr>
        <w:t>份，甲方持</w:t>
      </w:r>
      <w:r>
        <w:rPr>
          <w:rFonts w:hint="eastAsia"/>
          <w:color w:val="222222"/>
          <w:sz w:val="24"/>
          <w:u w:val="single"/>
          <w:lang w:val="en-US" w:eastAsia="zh-CN"/>
        </w:rPr>
        <w:t>肆</w:t>
      </w:r>
      <w:r>
        <w:rPr>
          <w:color w:val="222222"/>
          <w:sz w:val="24"/>
        </w:rPr>
        <w:t>份，乙方持</w:t>
      </w:r>
      <w:r>
        <w:rPr>
          <w:rFonts w:hint="eastAsia"/>
          <w:color w:val="222222"/>
          <w:sz w:val="24"/>
          <w:u w:val="single"/>
          <w:lang w:val="en-US" w:eastAsia="zh-CN"/>
        </w:rPr>
        <w:t>贰</w:t>
      </w:r>
      <w:r>
        <w:rPr>
          <w:color w:val="222222"/>
          <w:sz w:val="24"/>
        </w:rPr>
        <w:t>份，具有同等法律效力。</w:t>
      </w:r>
    </w:p>
    <w:p w14:paraId="632A30C0">
      <w:pPr>
        <w:pStyle w:val="11"/>
        <w:ind w:firstLine="240"/>
        <w:rPr>
          <w:sz w:val="24"/>
        </w:rPr>
      </w:pPr>
      <w:r>
        <w:rPr>
          <w:sz w:val="24"/>
        </w:rPr>
        <w:t>（以下无正文）</w:t>
      </w:r>
    </w:p>
    <w:p w14:paraId="1557825D">
      <w:pPr>
        <w:pStyle w:val="11"/>
        <w:rPr>
          <w:rFonts w:hint="eastAsia"/>
          <w:color w:val="222222"/>
          <w:sz w:val="20"/>
          <w:szCs w:val="15"/>
        </w:rPr>
      </w:pPr>
      <w:r>
        <w:rPr>
          <w:b/>
          <w:sz w:val="24"/>
        </w:rPr>
        <w:t>甲方（盖章）：</w:t>
      </w:r>
      <w:r>
        <w:rPr>
          <w:rFonts w:hint="eastAsia"/>
          <w:color w:val="222222"/>
          <w:sz w:val="21"/>
          <w:szCs w:val="16"/>
        </w:rPr>
        <w:t>广东省第一荣军优抚医院</w:t>
      </w:r>
      <w:r>
        <w:rPr>
          <w:rFonts w:hint="eastAsia"/>
          <w:color w:val="222222"/>
          <w:sz w:val="21"/>
          <w:szCs w:val="16"/>
          <w:lang w:val="en-US" w:eastAsia="zh-CN"/>
        </w:rPr>
        <w:t xml:space="preserve"> </w:t>
      </w:r>
      <w:r>
        <w:rPr>
          <w:b/>
          <w:sz w:val="24"/>
        </w:rPr>
        <w:t>乙方（盖章）：</w:t>
      </w:r>
      <w:r>
        <w:rPr>
          <w:rFonts w:hint="eastAsia"/>
          <w:color w:val="222222"/>
          <w:sz w:val="20"/>
          <w:szCs w:val="15"/>
          <w:lang w:val="en-US" w:eastAsia="zh-CN"/>
        </w:rPr>
        <w:t>xx</w:t>
      </w:r>
      <w:r>
        <w:rPr>
          <w:rFonts w:hint="eastAsia"/>
          <w:color w:val="222222"/>
          <w:sz w:val="20"/>
          <w:szCs w:val="15"/>
        </w:rPr>
        <w:t>公司</w:t>
      </w:r>
    </w:p>
    <w:p w14:paraId="1AB6F8C0">
      <w:pPr>
        <w:pStyle w:val="11"/>
        <w:ind w:firstLine="240"/>
        <w:rPr>
          <w:rFonts w:hint="eastAsia"/>
          <w:color w:val="222222"/>
          <w:sz w:val="20"/>
          <w:szCs w:val="15"/>
        </w:rPr>
      </w:pPr>
    </w:p>
    <w:p w14:paraId="5CAC937D">
      <w:pPr>
        <w:pStyle w:val="11"/>
        <w:rPr>
          <w:rFonts w:eastAsia="宋体" w:cs="Times New Roman"/>
          <w:b/>
          <w:sz w:val="24"/>
        </w:rPr>
      </w:pPr>
      <w:r>
        <w:rPr>
          <w:b/>
          <w:sz w:val="24"/>
        </w:rPr>
        <w:t>代表：</w:t>
      </w:r>
      <w:r>
        <w:rPr>
          <w:rFonts w:hint="eastAsia"/>
          <w:b/>
          <w:sz w:val="24"/>
          <w:lang w:val="en-US" w:eastAsia="zh-CN"/>
        </w:rPr>
        <w:t xml:space="preserve">                            </w:t>
      </w:r>
      <w:r>
        <w:rPr>
          <w:rFonts w:eastAsia="宋体" w:cs="Times New Roman"/>
          <w:b/>
          <w:sz w:val="24"/>
        </w:rPr>
        <w:t>代表：</w:t>
      </w:r>
    </w:p>
    <w:p w14:paraId="105B12D7">
      <w:pPr>
        <w:pStyle w:val="11"/>
        <w:rPr>
          <w:b/>
          <w:sz w:val="24"/>
        </w:rPr>
      </w:pPr>
    </w:p>
    <w:p w14:paraId="0EAF2FD4">
      <w:pPr>
        <w:pStyle w:val="11"/>
        <w:rPr>
          <w:rFonts w:hint="eastAsia"/>
          <w:b/>
          <w:sz w:val="24"/>
          <w:lang w:val="en-US" w:eastAsia="zh-CN"/>
        </w:rPr>
      </w:pPr>
      <w:r>
        <w:rPr>
          <w:rFonts w:hint="eastAsia"/>
          <w:b/>
          <w:sz w:val="24"/>
          <w:lang w:val="en-US" w:eastAsia="zh-CN"/>
        </w:rPr>
        <w:t xml:space="preserve">                             </w:t>
      </w:r>
    </w:p>
    <w:p w14:paraId="7C1C2084">
      <w:pPr>
        <w:pStyle w:val="11"/>
        <w:rPr>
          <w:b/>
          <w:sz w:val="24"/>
        </w:rPr>
      </w:pPr>
      <w:r>
        <w:rPr>
          <w:b/>
          <w:sz w:val="24"/>
        </w:rPr>
        <w:t xml:space="preserve">                     </w:t>
      </w:r>
      <w:r>
        <w:rPr>
          <w:rFonts w:hint="eastAsia"/>
          <w:b/>
          <w:sz w:val="24"/>
          <w:lang w:val="en-US" w:eastAsia="zh-CN"/>
        </w:rPr>
        <w:t xml:space="preserve">    </w:t>
      </w:r>
    </w:p>
    <w:p w14:paraId="16480D14">
      <w:pPr>
        <w:pStyle w:val="11"/>
        <w:rPr>
          <w:color w:val="222222"/>
          <w:sz w:val="24"/>
        </w:rPr>
      </w:pPr>
      <w:r>
        <w:rPr>
          <w:color w:val="222222"/>
          <w:sz w:val="24"/>
        </w:rPr>
        <w:t>签订日期：</w:t>
      </w:r>
      <w:r>
        <w:rPr>
          <w:rFonts w:hint="eastAsia"/>
          <w:color w:val="222222"/>
          <w:sz w:val="24"/>
          <w:lang w:val="en-US" w:eastAsia="zh-CN"/>
        </w:rPr>
        <w:t>2026</w:t>
      </w:r>
      <w:r>
        <w:rPr>
          <w:color w:val="222222"/>
          <w:sz w:val="24"/>
        </w:rPr>
        <w:t>年　　月　　日</w:t>
      </w:r>
      <w:r>
        <w:rPr>
          <w:rFonts w:hint="eastAsia"/>
          <w:color w:val="222222"/>
          <w:sz w:val="24"/>
          <w:lang w:val="en-US" w:eastAsia="zh-CN"/>
        </w:rPr>
        <w:t xml:space="preserve">      </w:t>
      </w:r>
      <w:r>
        <w:rPr>
          <w:color w:val="222222"/>
          <w:sz w:val="24"/>
        </w:rPr>
        <w:t>签订日期：</w:t>
      </w:r>
      <w:r>
        <w:rPr>
          <w:rFonts w:hint="eastAsia"/>
          <w:color w:val="222222"/>
          <w:sz w:val="24"/>
          <w:lang w:val="en-US" w:eastAsia="zh-CN"/>
        </w:rPr>
        <w:t>2026</w:t>
      </w:r>
      <w:r>
        <w:rPr>
          <w:color w:val="222222"/>
          <w:sz w:val="24"/>
        </w:rPr>
        <w:t>年　　月　　日</w:t>
      </w:r>
    </w:p>
    <w:p w14:paraId="1215CD60">
      <w:pPr>
        <w:pStyle w:val="11"/>
        <w:rPr>
          <w:color w:val="222222"/>
          <w:sz w:val="24"/>
        </w:rPr>
      </w:pPr>
    </w:p>
    <w:p w14:paraId="65BF2942">
      <w:pPr>
        <w:pStyle w:val="11"/>
      </w:pPr>
      <w:r>
        <w:rPr>
          <w:b/>
          <w:sz w:val="24"/>
        </w:rPr>
        <w:t xml:space="preserve">收取履约保证金方与甲方一致：  </w:t>
      </w:r>
      <w:r>
        <w:rPr>
          <w:rFonts w:hint="eastAsia"/>
          <w:b/>
          <w:sz w:val="24"/>
          <w:lang w:val="en-US" w:eastAsia="zh-CN"/>
        </w:rPr>
        <w:t xml:space="preserve">     </w:t>
      </w:r>
      <w:r>
        <w:rPr>
          <w:b/>
          <w:sz w:val="24"/>
        </w:rPr>
        <w:t xml:space="preserve">收款方、开票方须与乙方一致：         </w:t>
      </w:r>
    </w:p>
    <w:p w14:paraId="0DD7BD02">
      <w:pPr>
        <w:pStyle w:val="7"/>
        <w:keepNext w:val="0"/>
        <w:keepLines w:val="0"/>
        <w:widowControl/>
        <w:suppressLineNumbers w:val="0"/>
      </w:pPr>
      <w:r>
        <w:rPr>
          <w:color w:val="222222"/>
          <w:sz w:val="24"/>
        </w:rPr>
        <w:t>开户名称：</w:t>
      </w:r>
      <w:r>
        <w:rPr>
          <w:rFonts w:hint="eastAsia"/>
          <w:color w:val="222222"/>
          <w:sz w:val="24"/>
        </w:rPr>
        <w:t>广东省第一荣军优抚医院</w:t>
      </w:r>
      <w:r>
        <w:rPr>
          <w:color w:val="222222"/>
          <w:sz w:val="24"/>
        </w:rPr>
        <w:t xml:space="preserve"> </w:t>
      </w:r>
      <w:r>
        <w:rPr>
          <w:rFonts w:hint="eastAsia"/>
          <w:color w:val="222222"/>
          <w:sz w:val="24"/>
          <w:lang w:val="en-US" w:eastAsia="zh-CN"/>
        </w:rPr>
        <w:t xml:space="preserve">  </w:t>
      </w:r>
      <w:r>
        <w:rPr>
          <w:color w:val="222222"/>
          <w:sz w:val="24"/>
        </w:rPr>
        <w:t>开户名称：</w:t>
      </w:r>
    </w:p>
    <w:p w14:paraId="217D1474">
      <w:pPr>
        <w:pStyle w:val="7"/>
        <w:keepNext w:val="0"/>
        <w:keepLines w:val="0"/>
        <w:widowControl/>
        <w:suppressLineNumbers w:val="0"/>
      </w:pPr>
      <w:r>
        <w:rPr>
          <w:color w:val="222222"/>
          <w:sz w:val="24"/>
        </w:rPr>
        <w:t>银行账号：</w:t>
      </w:r>
      <w:r>
        <w:rPr>
          <w:rFonts w:hint="eastAsia"/>
          <w:color w:val="222222"/>
          <w:sz w:val="24"/>
        </w:rPr>
        <w:t>3602000309000415320</w:t>
      </w:r>
      <w:r>
        <w:rPr>
          <w:color w:val="222222"/>
          <w:sz w:val="24"/>
        </w:rPr>
        <w:t xml:space="preserve">   </w:t>
      </w:r>
      <w:r>
        <w:rPr>
          <w:rFonts w:hint="eastAsia"/>
          <w:color w:val="222222"/>
          <w:sz w:val="24"/>
          <w:lang w:val="en-US" w:eastAsia="zh-CN"/>
        </w:rPr>
        <w:t xml:space="preserve">  </w:t>
      </w:r>
      <w:r>
        <w:rPr>
          <w:color w:val="222222"/>
          <w:sz w:val="24"/>
        </w:rPr>
        <w:t xml:space="preserve"> 银行账号：</w:t>
      </w:r>
    </w:p>
    <w:p w14:paraId="30B6AE7F">
      <w:pPr>
        <w:pStyle w:val="11"/>
        <w:rPr>
          <w:rFonts w:hint="eastAsia" w:ascii="Calibri" w:hAnsi="Calibri" w:eastAsia="宋体" w:cs="Times New Roman"/>
          <w:color w:val="222222"/>
          <w:kern w:val="0"/>
          <w:sz w:val="24"/>
          <w:szCs w:val="24"/>
          <w:lang w:val="en-US" w:eastAsia="zh-CN" w:bidi="ar"/>
        </w:rPr>
      </w:pPr>
      <w:r>
        <w:rPr>
          <w:color w:val="222222"/>
          <w:sz w:val="24"/>
        </w:rPr>
        <w:t xml:space="preserve">开户行： </w:t>
      </w:r>
      <w:r>
        <w:rPr>
          <w:rFonts w:hint="eastAsia"/>
          <w:color w:val="222222"/>
          <w:sz w:val="24"/>
        </w:rPr>
        <w:t>工商银行广州怡乐支行</w:t>
      </w:r>
      <w:r>
        <w:rPr>
          <w:color w:val="222222"/>
          <w:sz w:val="24"/>
        </w:rPr>
        <w:t xml:space="preserve">    </w:t>
      </w:r>
      <w:r>
        <w:rPr>
          <w:rFonts w:hint="eastAsia"/>
          <w:color w:val="222222"/>
          <w:sz w:val="24"/>
          <w:lang w:val="en-US" w:eastAsia="zh-CN"/>
        </w:rPr>
        <w:t xml:space="preserve">  </w:t>
      </w:r>
      <w:r>
        <w:rPr>
          <w:color w:val="222222"/>
          <w:sz w:val="24"/>
        </w:rPr>
        <w:t>开户行：</w:t>
      </w:r>
    </w:p>
    <w:p w14:paraId="38FE29EB">
      <w:pPr>
        <w:pStyle w:val="11"/>
        <w:rPr>
          <w:color w:val="222222"/>
          <w:sz w:val="24"/>
        </w:rPr>
      </w:pPr>
    </w:p>
    <w:p w14:paraId="4A1CDBEE">
      <w:pPr>
        <w:pStyle w:val="11"/>
        <w:rPr>
          <w:rFonts w:hint="eastAsia"/>
          <w:color w:val="222222"/>
          <w:sz w:val="24"/>
          <w:lang w:val="en-US" w:eastAsia="zh-CN"/>
        </w:rPr>
      </w:pPr>
      <w:r>
        <w:rPr>
          <w:color w:val="222222"/>
          <w:sz w:val="24"/>
        </w:rPr>
        <w:t>签订地点：</w:t>
      </w:r>
      <w:r>
        <w:rPr>
          <w:rFonts w:hint="eastAsia"/>
          <w:color w:val="222222"/>
          <w:sz w:val="24"/>
          <w:lang w:val="en-US" w:eastAsia="zh-CN"/>
        </w:rPr>
        <w:t>广东省广州市</w:t>
      </w:r>
    </w:p>
    <w:p w14:paraId="1E0388C0">
      <w:pPr>
        <w:bidi w:val="0"/>
        <w:rPr>
          <w:rFonts w:hint="default"/>
        </w:rPr>
      </w:pPr>
    </w:p>
    <w:p w14:paraId="6C2F6C82">
      <w:pPr>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br w:type="page"/>
      </w:r>
      <w:r>
        <w:rPr>
          <w:rFonts w:hint="default" w:ascii="Times New Roman" w:hAnsi="Times New Roman" w:eastAsia="宋体" w:cs="Times New Roman"/>
          <w:sz w:val="28"/>
          <w:szCs w:val="28"/>
          <w:lang w:val="en-US" w:eastAsia="zh-CN"/>
        </w:rPr>
        <w:t>附件</w:t>
      </w: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：服务内容清单</w:t>
      </w:r>
    </w:p>
    <w:tbl>
      <w:tblPr>
        <w:tblStyle w:val="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28"/>
        <w:gridCol w:w="7692"/>
      </w:tblGrid>
      <w:tr w14:paraId="7C20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trPr>
        <w:tc>
          <w:tcPr>
            <w:tcW w:w="486" w:type="pct"/>
            <w:shd w:val="clear" w:color="auto" w:fill="D7D7D7"/>
            <w:noWrap w:val="0"/>
            <w:vAlign w:val="center"/>
          </w:tcPr>
          <w:p w14:paraId="7022821A">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项目模块</w:t>
            </w:r>
          </w:p>
        </w:tc>
        <w:tc>
          <w:tcPr>
            <w:tcW w:w="4513" w:type="pct"/>
            <w:shd w:val="clear" w:color="auto" w:fill="D7D7D7"/>
            <w:noWrap w:val="0"/>
            <w:vAlign w:val="center"/>
          </w:tcPr>
          <w:p w14:paraId="2724D7B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内容</w:t>
            </w:r>
          </w:p>
        </w:tc>
      </w:tr>
      <w:tr w14:paraId="2AB6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86" w:type="pct"/>
            <w:noWrap w:val="0"/>
            <w:vAlign w:val="center"/>
          </w:tcPr>
          <w:p w14:paraId="21A4F1A6">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b/>
                <w:sz w:val="24"/>
                <w:szCs w:val="24"/>
                <w:lang w:val="en-US"/>
              </w:rPr>
            </w:pPr>
            <w:r>
              <w:rPr>
                <w:rFonts w:hint="default" w:ascii="Times New Roman" w:hAnsi="Times New Roman" w:eastAsia="宋体" w:cs="Times New Roman"/>
                <w:b/>
                <w:sz w:val="24"/>
                <w:szCs w:val="24"/>
                <w:lang w:val="en-US" w:eastAsia="zh-CN"/>
              </w:rPr>
              <w:t>云胶片</w:t>
            </w:r>
            <w:r>
              <w:rPr>
                <w:rFonts w:hint="default" w:ascii="Times New Roman" w:hAnsi="Times New Roman" w:eastAsia="宋体" w:cs="Times New Roman"/>
                <w:b/>
                <w:sz w:val="24"/>
                <w:szCs w:val="24"/>
              </w:rPr>
              <w:t>基础</w:t>
            </w:r>
            <w:r>
              <w:rPr>
                <w:rFonts w:hint="default" w:ascii="Times New Roman" w:hAnsi="Times New Roman" w:eastAsia="宋体" w:cs="Times New Roman"/>
                <w:b/>
                <w:sz w:val="24"/>
                <w:szCs w:val="24"/>
                <w:lang w:val="en-US" w:eastAsia="zh-CN"/>
              </w:rPr>
              <w:t>应用</w:t>
            </w:r>
          </w:p>
        </w:tc>
        <w:tc>
          <w:tcPr>
            <w:tcW w:w="4513" w:type="pct"/>
            <w:noWrap w:val="0"/>
            <w:vAlign w:val="center"/>
          </w:tcPr>
          <w:p w14:paraId="1A77FE13">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实现多类型存储兼容，可对接医院现有PACS系统及各类影像设备，兼容DICOM3.0标准。系统支持分布式弹性部署、影像数据多级分层存储，可自定义存储策略优化存储成本。同时具备高性能数据传输、标准化数据共享接口、统一身份认证、双维度审计日志（用户操作、系统运维）、国密数据加密能力，且采用HTML5技术实现全平台无客户端访问，支持按数据类型、患者来源差异化设置存储时长，满足等保三级合规要求。</w:t>
            </w:r>
          </w:p>
        </w:tc>
      </w:tr>
      <w:tr w14:paraId="643D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86" w:type="pct"/>
            <w:noWrap w:val="0"/>
            <w:vAlign w:val="center"/>
          </w:tcPr>
          <w:p w14:paraId="1E99F254">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sz w:val="24"/>
                <w:szCs w:val="24"/>
                <w:lang w:val="en-US" w:eastAsia="zh-CN"/>
              </w:rPr>
              <w:t>云胶片</w:t>
            </w:r>
            <w:r>
              <w:rPr>
                <w:rFonts w:hint="default" w:ascii="Times New Roman" w:hAnsi="Times New Roman" w:eastAsia="宋体" w:cs="Times New Roman"/>
                <w:b/>
                <w:sz w:val="24"/>
                <w:szCs w:val="24"/>
                <w:lang w:val="en-US"/>
              </w:rPr>
              <w:t>数据管理应用</w:t>
            </w:r>
          </w:p>
        </w:tc>
        <w:tc>
          <w:tcPr>
            <w:tcW w:w="4513" w:type="pct"/>
            <w:noWrap w:val="0"/>
            <w:vAlign w:val="center"/>
          </w:tcPr>
          <w:p w14:paraId="30716AE0">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聚焦影像数据精细化安全管理，支持DICOM格式无损压缩，节省存储空间。全面适配主流医疗信息标准与通用网络协议，对患者隐私数据全程加密防护。同时具备过期数据防重复下载、自定义提示语及功能开关配置能力，保障影像数据存储、传输、使用全流程安全可控。</w:t>
            </w:r>
          </w:p>
        </w:tc>
      </w:tr>
      <w:tr w14:paraId="0784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trPr>
        <w:tc>
          <w:tcPr>
            <w:tcW w:w="486" w:type="pct"/>
            <w:noWrap w:val="0"/>
            <w:vAlign w:val="center"/>
          </w:tcPr>
          <w:p w14:paraId="33B5875F">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sz w:val="24"/>
                <w:szCs w:val="24"/>
                <w:lang w:val="en-US" w:eastAsia="zh-CN"/>
              </w:rPr>
              <w:t>云胶片系统应用</w:t>
            </w:r>
          </w:p>
        </w:tc>
        <w:tc>
          <w:tcPr>
            <w:tcW w:w="4513" w:type="pct"/>
            <w:noWrap w:val="0"/>
            <w:vAlign w:val="center"/>
          </w:tcPr>
          <w:p w14:paraId="5772E341">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实现影像、胶片、报告数据的云端/本地统一归档管理，可同步对接院内PACS系统完成数据云端上传。支持多渠道患者查询、影像报告分享，可自定义分享时效、脱敏展示隐私信息。配备全面的移动端影像阅片功能，支持多维度影像处理与动态图像播放。可实现自助机打印后云端数据自动清理，支持医院LOGO、系统主题、患者查看延迟等个性化定制配置，适配医院多样化运营需求。</w:t>
            </w:r>
          </w:p>
        </w:tc>
      </w:tr>
      <w:tr w14:paraId="3381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trPr>
        <w:tc>
          <w:tcPr>
            <w:tcW w:w="486" w:type="pct"/>
            <w:noWrap w:val="0"/>
            <w:vAlign w:val="center"/>
          </w:tcPr>
          <w:p w14:paraId="6BB6BCBE">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医生端应用</w:t>
            </w:r>
          </w:p>
        </w:tc>
        <w:tc>
          <w:tcPr>
            <w:tcW w:w="4513" w:type="pct"/>
            <w:noWrap w:val="0"/>
            <w:vAlign w:val="center"/>
          </w:tcPr>
          <w:p w14:paraId="3038C21A">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为医护人员提供PC端、移动端双端阅片、查报告服务，可查阅患者历次检查数据。PC端具备专业、全面的影像处理、测量、标记功能，适配多类浏览器及双屏工作模式。支持多维度患者数据检索、影像脱敏分享、分享与报告记录溯源查询，可自定义用户角色权限，支持报告编辑审核、数据回传PACS系统及第三方平台集成，可按需管控影像调阅权限与次数，适配院内临床、放射科诊疗工作场景。</w:t>
            </w:r>
          </w:p>
        </w:tc>
      </w:tr>
      <w:tr w14:paraId="7FCB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trPr>
        <w:tc>
          <w:tcPr>
            <w:tcW w:w="486" w:type="pct"/>
            <w:noWrap w:val="0"/>
            <w:vAlign w:val="center"/>
          </w:tcPr>
          <w:p w14:paraId="06D76CA7">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rPr>
              <w:t>移动影像</w:t>
            </w:r>
            <w:r>
              <w:rPr>
                <w:rFonts w:hint="default" w:ascii="Times New Roman" w:hAnsi="Times New Roman" w:eastAsia="宋体" w:cs="Times New Roman"/>
                <w:b/>
                <w:bCs/>
                <w:sz w:val="24"/>
                <w:szCs w:val="24"/>
                <w:lang w:val="en-US" w:eastAsia="zh-CN"/>
              </w:rPr>
              <w:t>设备</w:t>
            </w:r>
          </w:p>
        </w:tc>
        <w:tc>
          <w:tcPr>
            <w:tcW w:w="4513" w:type="pct"/>
            <w:noWrap w:val="0"/>
            <w:vAlign w:val="center"/>
          </w:tcPr>
          <w:p w14:paraId="5B2B6565">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提供便携式医用影像阅片设备</w:t>
            </w:r>
            <w:r>
              <w:rPr>
                <w:rFonts w:hint="eastAsia" w:ascii="Times New Roman" w:hAnsi="Times New Roman" w:eastAsia="宋体" w:cs="Times New Roman"/>
                <w:sz w:val="24"/>
                <w:szCs w:val="24"/>
                <w:highlight w:val="none"/>
                <w:lang w:val="en-US" w:eastAsia="zh-CN"/>
              </w:rPr>
              <w:t>和便携式图文输出设备各1台</w:t>
            </w:r>
            <w:r>
              <w:rPr>
                <w:rFonts w:hint="default" w:ascii="Times New Roman" w:hAnsi="Times New Roman" w:eastAsia="宋体" w:cs="Times New Roman"/>
                <w:sz w:val="24"/>
                <w:szCs w:val="24"/>
                <w:highlight w:val="none"/>
                <w:lang w:val="en-US" w:eastAsia="zh-CN"/>
              </w:rPr>
              <w:t>，设备满足基础硬件配置要求，支持医疗伽马曲线调节。可独立完成调窗、缩放、测量、序列播放等基础影像操作，满足移动阅片需求。</w:t>
            </w:r>
          </w:p>
        </w:tc>
      </w:tr>
      <w:tr w14:paraId="47F3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86" w:type="pct"/>
            <w:noWrap w:val="0"/>
            <w:vAlign w:val="center"/>
          </w:tcPr>
          <w:p w14:paraId="1B453E66">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本地存储部署配套</w:t>
            </w:r>
          </w:p>
        </w:tc>
        <w:tc>
          <w:tcPr>
            <w:tcW w:w="4513" w:type="pct"/>
            <w:noWrap w:val="0"/>
            <w:vAlign w:val="center"/>
          </w:tcPr>
          <w:p w14:paraId="187DFA90">
            <w:pPr>
              <w:keepNext w:val="0"/>
              <w:keepLines w:val="0"/>
              <w:pageBreakBefore w:val="0"/>
              <w:widowControl w:val="0"/>
              <w:kinsoku/>
              <w:wordWrap/>
              <w:overflowPunct/>
              <w:topLinePunct w:val="0"/>
              <w:autoSpaceDE/>
              <w:autoSpaceDN/>
              <w:bidi w:val="0"/>
              <w:snapToGrid w:val="0"/>
              <w:spacing w:line="576" w:lineRule="exact"/>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提供</w:t>
            </w:r>
            <w:r>
              <w:rPr>
                <w:rFonts w:hint="eastAsia" w:ascii="Times New Roman" w:hAnsi="Times New Roman" w:eastAsia="宋体" w:cs="Times New Roman"/>
                <w:sz w:val="24"/>
                <w:szCs w:val="24"/>
                <w:highlight w:val="none"/>
                <w:lang w:eastAsia="zh-CN"/>
              </w:rPr>
              <w:t>云胶片软件</w:t>
            </w:r>
            <w:r>
              <w:rPr>
                <w:rFonts w:hint="default" w:ascii="Times New Roman" w:hAnsi="Times New Roman" w:eastAsia="宋体" w:cs="Times New Roman"/>
                <w:sz w:val="24"/>
                <w:szCs w:val="24"/>
                <w:highlight w:val="none"/>
                <w:lang w:val="en-US" w:eastAsia="zh-CN"/>
              </w:rPr>
              <w:t>专用</w:t>
            </w:r>
            <w:r>
              <w:rPr>
                <w:rFonts w:hint="eastAsia" w:ascii="Times New Roman" w:hAnsi="Times New Roman" w:eastAsia="宋体" w:cs="Times New Roman"/>
                <w:sz w:val="24"/>
                <w:szCs w:val="24"/>
                <w:highlight w:val="none"/>
                <w:lang w:val="en-US" w:eastAsia="zh-CN"/>
              </w:rPr>
              <w:t>部署设备</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支持云胶片软件</w:t>
            </w:r>
            <w:r>
              <w:rPr>
                <w:rFonts w:hint="default" w:ascii="Times New Roman" w:hAnsi="Times New Roman" w:eastAsia="宋体" w:cs="Times New Roman"/>
                <w:sz w:val="24"/>
                <w:szCs w:val="24"/>
                <w:highlight w:val="none"/>
                <w:lang w:val="en-US" w:eastAsia="zh-CN"/>
              </w:rPr>
              <w:t>Web应用</w:t>
            </w:r>
            <w:r>
              <w:rPr>
                <w:rFonts w:hint="eastAsia" w:ascii="Times New Roman" w:hAnsi="Times New Roman" w:eastAsia="宋体" w:cs="Times New Roman"/>
                <w:sz w:val="24"/>
                <w:szCs w:val="24"/>
                <w:highlight w:val="none"/>
                <w:lang w:val="en-US" w:eastAsia="zh-CN"/>
              </w:rPr>
              <w:t>部署</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云胶片影像存储及</w:t>
            </w:r>
            <w:r>
              <w:rPr>
                <w:rFonts w:hint="default" w:ascii="Times New Roman" w:hAnsi="Times New Roman" w:eastAsia="宋体" w:cs="Times New Roman"/>
                <w:sz w:val="24"/>
                <w:szCs w:val="24"/>
                <w:highlight w:val="none"/>
                <w:lang w:val="en-US" w:eastAsia="zh-CN"/>
              </w:rPr>
              <w:t>前置</w:t>
            </w:r>
            <w:r>
              <w:rPr>
                <w:rFonts w:hint="eastAsia" w:ascii="Times New Roman" w:hAnsi="Times New Roman" w:eastAsia="宋体" w:cs="Times New Roman"/>
                <w:sz w:val="24"/>
                <w:szCs w:val="24"/>
                <w:highlight w:val="none"/>
                <w:lang w:val="en-US" w:eastAsia="zh-CN"/>
              </w:rPr>
              <w:t>服务转发</w:t>
            </w:r>
            <w:r>
              <w:rPr>
                <w:rFonts w:hint="default" w:ascii="Times New Roman" w:hAnsi="Times New Roman" w:eastAsia="宋体" w:cs="Times New Roman"/>
                <w:sz w:val="24"/>
                <w:szCs w:val="24"/>
                <w:highlight w:val="none"/>
                <w:lang w:val="en-US" w:eastAsia="zh-CN"/>
              </w:rPr>
              <w:t>，保障系统稳定运行。同时明确项目数据存储保留期限不少于1年，为整套云胶片系统提供硬件支撑与数据存储保障。</w:t>
            </w:r>
          </w:p>
        </w:tc>
      </w:tr>
    </w:tbl>
    <w:p w14:paraId="66979B09">
      <w:pPr>
        <w:rPr>
          <w:rFonts w:hint="default" w:ascii="Times New Roman" w:hAnsi="Times New Roman" w:cs="Times New Roman"/>
        </w:rPr>
      </w:pPr>
    </w:p>
    <w:p w14:paraId="779B338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kern w:val="36"/>
          <w:sz w:val="36"/>
          <w:szCs w:val="36"/>
        </w:rPr>
      </w:pPr>
      <w:r>
        <w:rPr>
          <w:rFonts w:hint="default" w:ascii="Times New Roman" w:hAnsi="Times New Roman" w:eastAsia="宋体" w:cs="Times New Roman"/>
          <w:sz w:val="28"/>
          <w:szCs w:val="28"/>
        </w:rPr>
        <w:br w:type="page"/>
      </w:r>
      <w:r>
        <w:rPr>
          <w:rFonts w:hint="eastAsia" w:ascii="宋体" w:hAnsi="宋体" w:eastAsia="宋体" w:cs="宋体"/>
          <w:b/>
          <w:kern w:val="36"/>
          <w:sz w:val="36"/>
          <w:szCs w:val="36"/>
        </w:rPr>
        <w:t>保 密 协 议</w:t>
      </w:r>
    </w:p>
    <w:p w14:paraId="5069D28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kern w:val="0"/>
          <w:sz w:val="24"/>
          <w:szCs w:val="20"/>
        </w:rPr>
        <w:t>甲</w:t>
      </w:r>
      <w:r>
        <w:rPr>
          <w:rFonts w:hint="eastAsia" w:ascii="宋体" w:hAnsi="宋体" w:eastAsia="宋体" w:cs="宋体"/>
          <w:b/>
          <w:bCs/>
          <w:kern w:val="0"/>
          <w:sz w:val="24"/>
          <w:szCs w:val="24"/>
        </w:rPr>
        <w:t>方：广东省第一荣军优抚医院</w:t>
      </w:r>
    </w:p>
    <w:p w14:paraId="3F6C34C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kern w:val="0"/>
          <w:sz w:val="24"/>
          <w:szCs w:val="20"/>
        </w:rPr>
        <w:t>乙方：</w:t>
      </w:r>
      <w:r>
        <w:rPr>
          <w:rFonts w:hint="eastAsia" w:ascii="宋体" w:hAnsi="宋体" w:eastAsia="宋体" w:cs="宋体"/>
          <w:b/>
          <w:bCs/>
          <w:sz w:val="24"/>
          <w:szCs w:val="24"/>
          <w:lang w:val="en-US" w:eastAsia="zh-CN"/>
        </w:rPr>
        <w:t>XX</w:t>
      </w:r>
      <w:r>
        <w:rPr>
          <w:rFonts w:hint="eastAsia" w:ascii="宋体" w:hAnsi="宋体" w:eastAsia="宋体" w:cs="宋体"/>
          <w:b/>
          <w:bCs/>
          <w:sz w:val="24"/>
          <w:szCs w:val="24"/>
          <w:lang w:eastAsia="zh-CN"/>
        </w:rPr>
        <w:t>公司</w:t>
      </w:r>
    </w:p>
    <w:p w14:paraId="45CEB75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甲乙双方正在就</w:t>
      </w:r>
      <w:r>
        <w:rPr>
          <w:rFonts w:hint="eastAsia" w:ascii="宋体" w:hAnsi="宋体" w:eastAsia="宋体" w:cs="宋体"/>
          <w:kern w:val="0"/>
          <w:sz w:val="24"/>
          <w:szCs w:val="24"/>
          <w:u w:val="single"/>
        </w:rPr>
        <w:t>广东省第一荣军优抚医院</w:t>
      </w:r>
      <w:r>
        <w:rPr>
          <w:rFonts w:hint="eastAsia" w:ascii="宋体" w:hAnsi="宋体" w:eastAsia="宋体" w:cs="宋体"/>
          <w:kern w:val="0"/>
          <w:sz w:val="24"/>
          <w:szCs w:val="24"/>
          <w:u w:val="single"/>
          <w:lang w:eastAsia="zh-CN"/>
        </w:rPr>
        <w:t>云胶片软件</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项目</w:t>
      </w:r>
      <w:r>
        <w:rPr>
          <w:rFonts w:hint="eastAsia" w:ascii="宋体" w:hAnsi="宋体" w:eastAsia="宋体" w:cs="宋体"/>
          <w:kern w:val="0"/>
          <w:sz w:val="24"/>
          <w:szCs w:val="24"/>
        </w:rPr>
        <w:t>进行合作，需要取得对方的相关业务和技术资料，为此甲乙双方本着平等自愿、公平诚信的原则，经友好协商签订本协议。</w:t>
      </w:r>
    </w:p>
    <w:p w14:paraId="42CBD806">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保密资料的定义：</w:t>
      </w:r>
    </w:p>
    <w:p w14:paraId="49ECD89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中任何一方披露给对方的与项目有关或因项目产生的任何商业、营销、技术、运营数据或其他性质的材料，无论以何种形式或载于何种载体，无论在披露时是否以口头、图像或以书面方式标明其具有保密性（简称：保密资料），但不包括下述资料和信息：</w:t>
      </w:r>
    </w:p>
    <w:p w14:paraId="381CF36E">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已经或将公布于众的资料，但不包括甲乙双方或其代表违反本规定未经授权所披露的；</w:t>
      </w:r>
    </w:p>
    <w:p w14:paraId="70CA5D67">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在任何一方向接受方披露前已为该方知悉的非保密性材料；</w:t>
      </w:r>
    </w:p>
    <w:p w14:paraId="0CA4B9FF">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任何一方提供的非保密资料，接受方在披露这些资料前不知此资料提供者（第三方）已经与本协议下的非保密提供方订立过有约束力的保密协议，且接受方有理由认为资料披露者未被禁止向接受方提供资料。</w:t>
      </w:r>
    </w:p>
    <w:p w14:paraId="3FBAF832">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保密资料的范围</w:t>
      </w:r>
    </w:p>
    <w:p w14:paraId="1143D8B0">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甲、乙双方确认，双方应承担关于该信息系统范围包括：</w:t>
      </w:r>
    </w:p>
    <w:p w14:paraId="4B9C2ACC">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技术信息：包括技术方案、设计要求、服务内容、实现方法、运作流程、技术指标、软件系统、数据库、运行环境、作业平台、测试结果、使用手册、技术文档、涉及技术秘密的业务函电等等；</w:t>
      </w:r>
    </w:p>
    <w:p w14:paraId="534CDE34">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经营信息：包括客户名称、客户地址及联系方式、需求信息、营销计划、采购资料、定价政策、进货渠道、产销策略、招投标中的标底及标书内容、项目组人员构成、费用预算、利润情况及不公开的财务资料等等；</w:t>
      </w:r>
    </w:p>
    <w:p w14:paraId="0A1074EC">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其他事项：甲方依照法律规定和有关协议（如技术合同等）的约定要求乙方承担保密义务的其他事项。</w:t>
      </w:r>
    </w:p>
    <w:p w14:paraId="728564CA">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双方责任义务</w:t>
      </w:r>
    </w:p>
    <w:p w14:paraId="30D085EC">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甲乙双方互为保密资料的提供方和接收方，负有保密义务，承担保密责任。</w:t>
      </w:r>
    </w:p>
    <w:p w14:paraId="3D8578B2">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中任何一方未经对方书面同意不得向第三方公开和披露任何保密资料或以其他方式使用保密资料。双方也许促使各自达标不想第三方公开或披露任何保密资料或以其它方式使用保密资料。除非披露、公开或利用保密资料是双方从事或开展合作项目工作在通常情况下应承担的义务（包括双方今后依法律或合同应承担的义务）适当所需的。</w:t>
      </w:r>
    </w:p>
    <w:p w14:paraId="409C41DA">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甲乙双方均须把保密资料的接触范围严格限制在因本协议规定目的而需接触保密资料的各自负责任的代表的范围内。</w:t>
      </w:r>
    </w:p>
    <w:p w14:paraId="1695FEC0">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除经过双方书面同意而必要进行披露外，任何一方不得将含有对方或其代表披露的保密资料复印或复制或者有意无意地提供给他人。</w:t>
      </w:r>
    </w:p>
    <w:p w14:paraId="4BC47302">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如果合作项目不再继续进行或乙方因故退出此项目，经甲方在任何时候提出书面要求，乙方应当、并应促使其代表在五个工作日内销毁或向甲方返还其占有的或控制的全部保密资料以及包含或体现了保密材料的全部文件和其它材料并连同全部副本。但是在不违反本协议其它条款的条件下，双方可仅为本协议第四条之目的，保留上述文件或材料的复制件一份。</w:t>
      </w:r>
    </w:p>
    <w:p w14:paraId="7DBCE63F">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保密资料的保存和使用</w:t>
      </w:r>
    </w:p>
    <w:p w14:paraId="51503F96">
      <w:pPr>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甲乙双方中的任何一方有权保存必要的保密资料，以便在履行其在合作项目工作中所承担的法律、规章与义务时使用该部分保密资料。</w:t>
      </w:r>
    </w:p>
    <w:p w14:paraId="345D0877">
      <w:pPr>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甲乙双方有权使用保密资料对任何针对接受方或其代表的与本协议项目及其事务相关的索赔、诉讼、司法程序及指控进行抗辩，或者对本协议项目及其事务相关的传唤、传票或其他法律程序做出答复。</w:t>
      </w:r>
    </w:p>
    <w:p w14:paraId="3725D22B">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违约和赔偿</w:t>
      </w:r>
    </w:p>
    <w:p w14:paraId="0F628440">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任何一方有违反本协议的情形，无论故意与过失，应当立即停止侵害，并在第一时间采取一切必要措施防止保密信息的扩撒，尽最大可能消除影响。</w:t>
      </w:r>
    </w:p>
    <w:p w14:paraId="3B9B8A4A">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一方违反本协议的一方，应承担违约责任，违约方应向守约方支付违约金，违约金的具体数额由双方协商确定。</w:t>
      </w:r>
    </w:p>
    <w:p w14:paraId="00CE515E">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上述违约金数额并不影响受损害方向违约方要求损害赔偿。该赔偿以受损害方实际遭受的损失为限。</w:t>
      </w:r>
    </w:p>
    <w:p w14:paraId="69D28770">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适用法律和争议解决</w:t>
      </w:r>
    </w:p>
    <w:p w14:paraId="033A82E0">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7A45FC1F">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因执行本协议而发生纠纷，可以由双方协商解决或者共同委托双方信任的第三方调解。协商、调解不成或者一方不愿意协商、调解的，任何一方都有提起诉讼的权利。</w:t>
      </w:r>
    </w:p>
    <w:p w14:paraId="2A20421B">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协议变更 </w:t>
      </w:r>
    </w:p>
    <w:p w14:paraId="307019A4">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本协议的任何修改必须经过双方的书面同意</w:t>
      </w:r>
      <w:r>
        <w:rPr>
          <w:rFonts w:hint="eastAsia" w:ascii="宋体" w:hAnsi="宋体" w:eastAsia="宋体" w:cs="宋体"/>
          <w:kern w:val="0"/>
          <w:sz w:val="24"/>
          <w:szCs w:val="24"/>
          <w:lang w:eastAsia="zh-CN"/>
        </w:rPr>
        <w:t>。</w:t>
      </w:r>
    </w:p>
    <w:p w14:paraId="71084B09">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协议有效期</w:t>
      </w:r>
    </w:p>
    <w:p w14:paraId="184580C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甲、</w:t>
      </w:r>
      <w:r>
        <w:rPr>
          <w:rFonts w:hint="eastAsia" w:ascii="宋体" w:hAnsi="宋体" w:eastAsia="宋体" w:cs="宋体"/>
          <w:kern w:val="0"/>
          <w:sz w:val="24"/>
          <w:szCs w:val="24"/>
        </w:rPr>
        <w:t>乙双方确认，本协议有效期自甲乙双方签字盖章之日起，于甲方关于该信息系统的商业秘密公开时止。</w:t>
      </w:r>
    </w:p>
    <w:p w14:paraId="58CA6FB1">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一式</w:t>
      </w:r>
      <w:r>
        <w:rPr>
          <w:rFonts w:hint="eastAsia" w:ascii="宋体" w:hAnsi="宋体" w:eastAsia="宋体" w:cs="宋体"/>
          <w:b/>
          <w:bCs/>
          <w:kern w:val="0"/>
          <w:sz w:val="24"/>
          <w:szCs w:val="24"/>
          <w:lang w:val="en-US" w:eastAsia="zh-CN"/>
        </w:rPr>
        <w:t>陆</w:t>
      </w:r>
      <w:r>
        <w:rPr>
          <w:rFonts w:hint="eastAsia" w:ascii="宋体" w:hAnsi="宋体" w:eastAsia="宋体" w:cs="宋体"/>
          <w:b/>
          <w:bCs/>
          <w:kern w:val="0"/>
          <w:sz w:val="24"/>
          <w:szCs w:val="24"/>
        </w:rPr>
        <w:t>份，甲</w:t>
      </w:r>
      <w:r>
        <w:rPr>
          <w:rFonts w:hint="eastAsia" w:ascii="宋体" w:hAnsi="宋体" w:eastAsia="宋体" w:cs="宋体"/>
          <w:b/>
          <w:bCs/>
          <w:kern w:val="0"/>
          <w:sz w:val="24"/>
          <w:szCs w:val="24"/>
          <w:lang w:val="en-US" w:eastAsia="zh-CN"/>
        </w:rPr>
        <w:t>方执伍</w:t>
      </w:r>
      <w:r>
        <w:rPr>
          <w:rFonts w:hint="eastAsia" w:ascii="宋体" w:hAnsi="宋体" w:eastAsia="宋体" w:cs="宋体"/>
          <w:b/>
          <w:bCs/>
          <w:kern w:val="0"/>
          <w:sz w:val="24"/>
          <w:szCs w:val="24"/>
        </w:rPr>
        <w:t>份</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乙方执壹份</w:t>
      </w:r>
      <w:r>
        <w:rPr>
          <w:rFonts w:hint="eastAsia" w:ascii="宋体" w:hAnsi="宋体" w:eastAsia="宋体" w:cs="宋体"/>
          <w:b/>
          <w:bCs/>
          <w:kern w:val="0"/>
          <w:sz w:val="24"/>
          <w:szCs w:val="24"/>
        </w:rPr>
        <w:t>。</w:t>
      </w:r>
    </w:p>
    <w:tbl>
      <w:tblPr>
        <w:tblStyle w:val="9"/>
        <w:tblpPr w:leftFromText="180" w:rightFromText="180" w:vertAnchor="text" w:horzAnchor="page" w:tblpX="1612" w:tblpY="187"/>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9"/>
        <w:gridCol w:w="4578"/>
      </w:tblGrid>
      <w:tr w14:paraId="35F4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2" w:type="pct"/>
            <w:noWrap w:val="0"/>
            <w:vAlign w:val="center"/>
          </w:tcPr>
          <w:p w14:paraId="066A184C">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sz w:val="24"/>
              </w:rPr>
              <w:t>甲方：广东省第一荣军优抚医院</w:t>
            </w:r>
          </w:p>
        </w:tc>
        <w:tc>
          <w:tcPr>
            <w:tcW w:w="2687" w:type="pct"/>
            <w:noWrap w:val="0"/>
            <w:vAlign w:val="center"/>
          </w:tcPr>
          <w:p w14:paraId="1BB6003C">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乙方：</w:t>
            </w:r>
            <w:r>
              <w:rPr>
                <w:rFonts w:hint="eastAsia" w:ascii="宋体" w:hAnsi="宋体" w:eastAsia="宋体" w:cs="宋体"/>
                <w:sz w:val="24"/>
                <w:lang w:val="en-US" w:eastAsia="zh-CN"/>
              </w:rPr>
              <w:t>XX</w:t>
            </w:r>
            <w:r>
              <w:rPr>
                <w:rFonts w:hint="eastAsia" w:ascii="宋体" w:hAnsi="宋体" w:eastAsia="宋体" w:cs="宋体"/>
                <w:sz w:val="24"/>
                <w:lang w:eastAsia="zh-CN"/>
              </w:rPr>
              <w:t>公司</w:t>
            </w:r>
          </w:p>
        </w:tc>
      </w:tr>
      <w:tr w14:paraId="3AAD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12" w:type="pct"/>
            <w:noWrap w:val="0"/>
            <w:vAlign w:val="bottom"/>
          </w:tcPr>
          <w:p w14:paraId="553CD620">
            <w:pPr>
              <w:pStyle w:val="6"/>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sz w:val="24"/>
              </w:rPr>
              <w:t>甲方：</w:t>
            </w:r>
          </w:p>
        </w:tc>
        <w:tc>
          <w:tcPr>
            <w:tcW w:w="2687" w:type="pct"/>
            <w:noWrap w:val="0"/>
            <w:vAlign w:val="bottom"/>
          </w:tcPr>
          <w:p w14:paraId="135EF52D">
            <w:pPr>
              <w:pStyle w:val="6"/>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p>
          <w:p w14:paraId="3CE97485">
            <w:pPr>
              <w:pStyle w:val="6"/>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sz w:val="24"/>
              </w:rPr>
              <w:t>乙方：</w:t>
            </w:r>
          </w:p>
        </w:tc>
      </w:tr>
      <w:tr w14:paraId="6215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312" w:type="pct"/>
            <w:noWrap w:val="0"/>
            <w:vAlign w:val="bottom"/>
          </w:tcPr>
          <w:p w14:paraId="311F41B9">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2"/>
                <w:sz w:val="24"/>
                <w:szCs w:val="24"/>
              </w:rPr>
            </w:pPr>
            <w:r>
              <w:rPr>
                <w:rFonts w:hint="eastAsia" w:ascii="宋体" w:hAnsi="宋体" w:eastAsia="宋体" w:cs="宋体"/>
                <w:spacing w:val="-12"/>
                <w:sz w:val="24"/>
                <w:szCs w:val="24"/>
              </w:rPr>
              <w:t>日期：     年    月    日</w:t>
            </w:r>
          </w:p>
        </w:tc>
        <w:tc>
          <w:tcPr>
            <w:tcW w:w="2687" w:type="pct"/>
            <w:noWrap w:val="0"/>
            <w:vAlign w:val="bottom"/>
          </w:tcPr>
          <w:p w14:paraId="6097EBF7">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2"/>
                <w:sz w:val="24"/>
                <w:szCs w:val="24"/>
              </w:rPr>
            </w:pPr>
            <w:r>
              <w:rPr>
                <w:rFonts w:hint="eastAsia" w:ascii="宋体" w:hAnsi="宋体" w:eastAsia="宋体" w:cs="宋体"/>
                <w:spacing w:val="-12"/>
                <w:sz w:val="24"/>
                <w:szCs w:val="24"/>
              </w:rPr>
              <w:t>日期：     年    月    日</w:t>
            </w:r>
          </w:p>
        </w:tc>
      </w:tr>
    </w:tbl>
    <w:p w14:paraId="66B9F247">
      <w:pPr>
        <w:rPr>
          <w:rFonts w:hint="eastAsia" w:ascii="宋体" w:hAnsi="宋体" w:eastAsia="宋体" w:cs="宋体"/>
        </w:rPr>
      </w:pPr>
    </w:p>
    <w:p w14:paraId="6B2C76C5">
      <w:pPr>
        <w:pStyle w:val="5"/>
        <w:rPr>
          <w:rFonts w:hint="eastAsia" w:ascii="宋体" w:hAnsi="宋体" w:eastAsia="宋体" w:cs="宋体"/>
          <w:szCs w:val="21"/>
        </w:rPr>
      </w:pPr>
    </w:p>
    <w:p w14:paraId="007ADB7D">
      <w:pPr>
        <w:jc w:val="center"/>
        <w:rPr>
          <w:rFonts w:hint="eastAsia" w:ascii="宋体" w:hAnsi="宋体" w:eastAsia="宋体" w:cs="宋体"/>
          <w:sz w:val="32"/>
          <w:szCs w:val="32"/>
        </w:rPr>
      </w:pPr>
      <w:r>
        <w:rPr>
          <w:rFonts w:hint="eastAsia" w:ascii="宋体" w:hAnsi="宋体" w:eastAsia="宋体" w:cs="宋体"/>
          <w:sz w:val="22"/>
          <w:szCs w:val="22"/>
        </w:rPr>
        <w:br w:type="page"/>
      </w:r>
      <w:r>
        <w:rPr>
          <w:rFonts w:hint="eastAsia" w:ascii="宋体" w:hAnsi="宋体" w:eastAsia="宋体" w:cs="宋体"/>
          <w:sz w:val="32"/>
          <w:szCs w:val="32"/>
        </w:rPr>
        <w:t>广东省第一荣军优抚医院廉洁承诺书</w:t>
      </w:r>
    </w:p>
    <w:p w14:paraId="0F799B80">
      <w:pPr>
        <w:adjustRightInd w:val="0"/>
        <w:snapToGrid w:val="0"/>
        <w:spacing w:line="460" w:lineRule="exact"/>
        <w:rPr>
          <w:rFonts w:hint="eastAsia" w:ascii="宋体" w:hAnsi="宋体" w:eastAsia="宋体" w:cs="宋体"/>
          <w:szCs w:val="21"/>
        </w:rPr>
      </w:pPr>
      <w:r>
        <w:rPr>
          <w:rFonts w:hint="eastAsia" w:ascii="宋体" w:hAnsi="宋体" w:eastAsia="宋体" w:cs="宋体"/>
          <w:szCs w:val="21"/>
        </w:rPr>
        <w:t>甲方：广东省第一荣军优抚医院</w:t>
      </w:r>
    </w:p>
    <w:p w14:paraId="71B8A5A3">
      <w:pPr>
        <w:adjustRightInd w:val="0"/>
        <w:snapToGrid w:val="0"/>
        <w:spacing w:line="460" w:lineRule="exact"/>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val="en-US" w:eastAsia="zh-CN"/>
        </w:rPr>
        <w:t>XX</w:t>
      </w:r>
      <w:r>
        <w:rPr>
          <w:rFonts w:hint="eastAsia" w:ascii="宋体" w:hAnsi="宋体" w:eastAsia="宋体" w:cs="宋体"/>
          <w:szCs w:val="21"/>
        </w:rPr>
        <w:t>公司</w:t>
      </w:r>
    </w:p>
    <w:p w14:paraId="2D8653BF">
      <w:pPr>
        <w:adjustRightInd w:val="0"/>
        <w:snapToGrid w:val="0"/>
        <w:spacing w:line="460" w:lineRule="exact"/>
        <w:ind w:firstLine="660"/>
        <w:rPr>
          <w:rFonts w:hint="eastAsia" w:ascii="宋体" w:hAnsi="宋体" w:eastAsia="宋体" w:cs="宋体"/>
          <w:szCs w:val="21"/>
        </w:rPr>
      </w:pPr>
      <w:r>
        <w:rPr>
          <w:rFonts w:hint="eastAsia" w:ascii="宋体" w:hAnsi="宋体" w:eastAsia="宋体" w:cs="宋体"/>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承诺书：</w:t>
      </w:r>
    </w:p>
    <w:p w14:paraId="10D465E2">
      <w:pPr>
        <w:adjustRightInd w:val="0"/>
        <w:snapToGrid w:val="0"/>
        <w:spacing w:line="460" w:lineRule="exact"/>
        <w:ind w:firstLine="660"/>
        <w:rPr>
          <w:rFonts w:hint="eastAsia" w:ascii="宋体" w:hAnsi="宋体" w:eastAsia="宋体" w:cs="宋体"/>
          <w:szCs w:val="21"/>
        </w:rPr>
      </w:pPr>
      <w:r>
        <w:rPr>
          <w:rFonts w:hint="eastAsia" w:ascii="宋体" w:hAnsi="宋体" w:eastAsia="宋体" w:cs="宋体"/>
          <w:szCs w:val="21"/>
        </w:rPr>
        <w:t>一、本承诺书所指采购工作是指以总务科牵头组织的物资采购、基建工程（含工程预算编制、工程招投标、工程监理、工程审核等）、设备维修（维保）、车辆维修保养等。</w:t>
      </w:r>
    </w:p>
    <w:p w14:paraId="66C109E2">
      <w:pPr>
        <w:adjustRightInd w:val="0"/>
        <w:snapToGrid w:val="0"/>
        <w:spacing w:line="460" w:lineRule="exact"/>
        <w:rPr>
          <w:rFonts w:hint="eastAsia" w:ascii="宋体" w:hAnsi="宋体" w:eastAsia="宋体" w:cs="宋体"/>
          <w:szCs w:val="21"/>
        </w:rPr>
      </w:pPr>
      <w:r>
        <w:rPr>
          <w:rFonts w:hint="eastAsia" w:ascii="宋体" w:hAnsi="宋体" w:eastAsia="宋体" w:cs="宋体"/>
          <w:szCs w:val="21"/>
        </w:rPr>
        <w:t xml:space="preserve">      二、甲、乙双方严格遵守党纪国法和各项政策规定，将廉政建设和从业规定的各项要求贯彻始终，廉洁自律、加强监督，确保将物资采购、基建工程项目等建设成为廉洁工程。</w:t>
      </w:r>
    </w:p>
    <w:p w14:paraId="4ABBA484">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三、甲方工作人员不得参加涉及可能影响公正公平的宴请和商务活动。</w:t>
      </w:r>
    </w:p>
    <w:p w14:paraId="2B5C2D8E">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四、甲方工作人员不得索要或收受乙方及其工作人员的红包、有价证券、贵重礼品等，不得索要或收受各种名义的回扣、手续费等好处费。</w:t>
      </w:r>
    </w:p>
    <w:p w14:paraId="301D5F78">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五、乙方及其工作人员不得以任何形式向甲方工作人员（含家属或亲友）行贿，乙方不得以各种借口邀请甲方工作人员参加可能影响今后工作的宴请、外出游玩和各种娱乐活动。</w:t>
      </w:r>
    </w:p>
    <w:p w14:paraId="0FB3DFD8">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六、经查实无论是因甲方原因，或者乙方原因违反本承诺书的，甲方有权终止购销合同，乙方因甲方解除合同产生的损失由乙方自行承担，甲方因此遭受损失由乙方赔偿，并向有关政府部门报告及视情况按相关情况处理。</w:t>
      </w:r>
    </w:p>
    <w:p w14:paraId="6412E6B5">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七、本承诺书作为物资采购、基建工程项目采购合同的重要组成部分，与正式签订的物资采购、基建工程项目实施合同一并执行且具有同等法律效力。</w:t>
      </w:r>
    </w:p>
    <w:p w14:paraId="114702C8">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八、本承诺书一式6份，甲方执5份，乙方执1份。</w:t>
      </w:r>
    </w:p>
    <w:p w14:paraId="75D1C183">
      <w:pPr>
        <w:adjustRightInd w:val="0"/>
        <w:snapToGrid w:val="0"/>
        <w:spacing w:line="460" w:lineRule="exact"/>
        <w:ind w:firstLine="630"/>
        <w:rPr>
          <w:rFonts w:hint="eastAsia" w:ascii="宋体" w:hAnsi="宋体" w:eastAsia="宋体" w:cs="宋体"/>
          <w:szCs w:val="21"/>
        </w:rPr>
      </w:pPr>
      <w:r>
        <w:rPr>
          <w:rFonts w:hint="eastAsia" w:ascii="宋体" w:hAnsi="宋体" w:eastAsia="宋体" w:cs="宋体"/>
          <w:szCs w:val="21"/>
        </w:rPr>
        <w:t>九、本承诺书自签订之日起生效。</w:t>
      </w:r>
    </w:p>
    <w:p w14:paraId="7315C020">
      <w:pPr>
        <w:adjustRightInd w:val="0"/>
        <w:snapToGrid w:val="0"/>
        <w:spacing w:line="460" w:lineRule="exact"/>
        <w:ind w:firstLine="1260" w:firstLineChars="600"/>
        <w:rPr>
          <w:rFonts w:hint="eastAsia" w:ascii="宋体" w:hAnsi="宋体" w:eastAsia="宋体" w:cs="宋体"/>
          <w:szCs w:val="21"/>
        </w:rPr>
      </w:pPr>
      <w:r>
        <w:rPr>
          <w:rFonts w:hint="eastAsia" w:ascii="宋体" w:hAnsi="宋体" w:eastAsia="宋体" w:cs="宋体"/>
          <w:szCs w:val="21"/>
        </w:rPr>
        <w:t>甲方（盖章）：                         乙方（盖章）：</w:t>
      </w:r>
    </w:p>
    <w:p w14:paraId="4D1D097F">
      <w:pPr>
        <w:adjustRightInd w:val="0"/>
        <w:snapToGrid w:val="0"/>
        <w:spacing w:line="460" w:lineRule="exact"/>
        <w:ind w:firstLine="0" w:firstLineChars="0"/>
        <w:rPr>
          <w:rFonts w:hint="eastAsia" w:ascii="宋体" w:hAnsi="宋体" w:eastAsia="宋体" w:cs="宋体"/>
          <w:szCs w:val="21"/>
        </w:rPr>
      </w:pPr>
      <w:r>
        <w:rPr>
          <w:rFonts w:hint="eastAsia" w:ascii="宋体" w:hAnsi="宋体" w:eastAsia="宋体" w:cs="宋体"/>
          <w:szCs w:val="21"/>
        </w:rPr>
        <w:t xml:space="preserve">            负责人：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项目负责人：</w:t>
      </w:r>
    </w:p>
    <w:p w14:paraId="76DF00ED">
      <w:pPr>
        <w:adjustRightInd w:val="0"/>
        <w:snapToGrid w:val="0"/>
        <w:spacing w:line="460" w:lineRule="exact"/>
        <w:ind w:firstLine="1260" w:firstLineChars="600"/>
        <w:rPr>
          <w:rFonts w:hint="eastAsia" w:ascii="宋体" w:hAnsi="宋体" w:eastAsia="宋体" w:cs="宋体"/>
          <w:szCs w:val="21"/>
        </w:rPr>
      </w:pPr>
      <w:r>
        <w:rPr>
          <w:rFonts w:hint="eastAsia" w:ascii="宋体" w:hAnsi="宋体" w:eastAsia="宋体" w:cs="宋体"/>
          <w:szCs w:val="21"/>
        </w:rPr>
        <w:t xml:space="preserve">                       </w:t>
      </w:r>
    </w:p>
    <w:p w14:paraId="051F5B02">
      <w:pPr>
        <w:adjustRightInd w:val="0"/>
        <w:snapToGrid w:val="0"/>
        <w:spacing w:line="460" w:lineRule="exact"/>
        <w:ind w:firstLine="1260" w:firstLineChars="600"/>
        <w:rPr>
          <w:rFonts w:hint="eastAsia" w:ascii="宋体" w:hAnsi="宋体" w:eastAsia="宋体" w:cs="宋体"/>
          <w:szCs w:val="21"/>
        </w:rPr>
      </w:pPr>
      <w:r>
        <w:rPr>
          <w:rFonts w:hint="eastAsia" w:ascii="宋体" w:hAnsi="宋体" w:eastAsia="宋体" w:cs="宋体"/>
          <w:szCs w:val="21"/>
        </w:rPr>
        <w:t xml:space="preserve">经办人：                              </w:t>
      </w:r>
      <w:r>
        <w:rPr>
          <w:rFonts w:hint="eastAsia" w:ascii="宋体" w:hAnsi="宋体" w:eastAsia="宋体" w:cs="宋体"/>
          <w:szCs w:val="21"/>
          <w:lang w:val="en-US" w:eastAsia="zh-CN"/>
        </w:rPr>
        <w:t xml:space="preserve"> </w:t>
      </w:r>
      <w:r>
        <w:rPr>
          <w:rFonts w:hint="eastAsia" w:ascii="宋体" w:hAnsi="宋体" w:eastAsia="宋体" w:cs="宋体"/>
          <w:szCs w:val="21"/>
        </w:rPr>
        <w:t>项目经办人：</w:t>
      </w:r>
    </w:p>
    <w:p w14:paraId="1B8290A0">
      <w:pPr>
        <w:adjustRightInd w:val="0"/>
        <w:snapToGrid w:val="0"/>
        <w:spacing w:line="460" w:lineRule="exact"/>
        <w:ind w:firstLine="0" w:firstLineChars="0"/>
        <w:rPr>
          <w:rFonts w:hint="eastAsia" w:ascii="宋体" w:hAnsi="宋体" w:eastAsia="宋体" w:cs="宋体"/>
          <w:sz w:val="22"/>
          <w:szCs w:val="22"/>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年   月   日                         年   月   日</w:t>
      </w:r>
    </w:p>
    <w:p w14:paraId="502B4C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24CFC"/>
    <w:multiLevelType w:val="multilevel"/>
    <w:tmpl w:val="03324CFC"/>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
    <w:nsid w:val="20911882"/>
    <w:multiLevelType w:val="multilevel"/>
    <w:tmpl w:val="20911882"/>
    <w:lvl w:ilvl="0" w:tentative="0">
      <w:start w:val="1"/>
      <w:numFmt w:val="japaneseCounting"/>
      <w:lvlText w:val="%1、"/>
      <w:lvlJc w:val="left"/>
      <w:pPr>
        <w:ind w:left="1351" w:hanging="500"/>
      </w:pPr>
      <w:rPr>
        <w:b/>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
    <w:nsid w:val="281B699D"/>
    <w:multiLevelType w:val="multilevel"/>
    <w:tmpl w:val="281B699D"/>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3">
    <w:nsid w:val="435C693A"/>
    <w:multiLevelType w:val="multilevel"/>
    <w:tmpl w:val="435C693A"/>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4">
    <w:nsid w:val="45825BA8"/>
    <w:multiLevelType w:val="multilevel"/>
    <w:tmpl w:val="45825BA8"/>
    <w:lvl w:ilvl="0" w:tentative="0">
      <w:start w:val="1"/>
      <w:numFmt w:val="chineseCountingThousand"/>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5">
    <w:nsid w:val="60957340"/>
    <w:multiLevelType w:val="multilevel"/>
    <w:tmpl w:val="60957340"/>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6">
    <w:nsid w:val="732356DE"/>
    <w:multiLevelType w:val="multilevel"/>
    <w:tmpl w:val="732356DE"/>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804F4"/>
    <w:rsid w:val="5418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Courier New" w:hAnsi="Courier New"/>
      <w:kern w:val="15"/>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2026-07-23T07:22:00Z</dcterms:created>
  <dc:creator>卑微小虎崽</dc:creator>
  <cp:lastModifiedBy>卑微小虎崽</cp:lastModifiedBy>
  <dcterms:modified xsi:type="dcterms:W3CDTF">2026-07-23T07:23:06Z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390CF7D66DE745078273F4ADA7C64B28_11</vt:lpwstr>
  </property>
  <property fmtid="{D5CDD505-2E9C-101B-9397-08002B2CF9AE}" pid="4" name="KSOTemplateDocerSaveRecord">
    <vt:lpwstr>eyJoZGlkIjoiNjNkZDNiNmE1ZWQxMmM5NjA4NDE0OWFmMTIyOTlmMDQiLCJ1c2VySWQiOiIxMzQ0MTYwMDk1In0=</vt:lpwstr>
  </property>
</Properties>
</file>