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B9165">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附件1：</w:t>
      </w:r>
    </w:p>
    <w:tbl>
      <w:tblPr>
        <w:tblStyle w:val="6"/>
        <w:tblW w:w="10358" w:type="dxa"/>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92"/>
        <w:gridCol w:w="6465"/>
        <w:gridCol w:w="1038"/>
      </w:tblGrid>
      <w:tr w14:paraId="60DE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63" w:type="dxa"/>
            <w:vAlign w:val="center"/>
          </w:tcPr>
          <w:p w14:paraId="513E4DAE">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192" w:type="dxa"/>
            <w:vAlign w:val="center"/>
          </w:tcPr>
          <w:p w14:paraId="4B270F85">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评审因素</w:t>
            </w:r>
          </w:p>
        </w:tc>
        <w:tc>
          <w:tcPr>
            <w:tcW w:w="6465" w:type="dxa"/>
            <w:vAlign w:val="center"/>
          </w:tcPr>
          <w:p w14:paraId="19C66BC9">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评分细则</w:t>
            </w:r>
          </w:p>
        </w:tc>
        <w:tc>
          <w:tcPr>
            <w:tcW w:w="1038" w:type="dxa"/>
            <w:vAlign w:val="center"/>
          </w:tcPr>
          <w:p w14:paraId="12F62AEB">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分值</w:t>
            </w:r>
          </w:p>
          <w:p w14:paraId="48B95F75">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（分）</w:t>
            </w:r>
          </w:p>
        </w:tc>
      </w:tr>
      <w:tr w14:paraId="7DBA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63" w:type="dxa"/>
            <w:vAlign w:val="center"/>
          </w:tcPr>
          <w:p w14:paraId="6B97CFEE">
            <w:pPr>
              <w:snapToGrid w:val="0"/>
              <w:spacing w:line="240" w:lineRule="auto"/>
              <w:ind w:left="0" w:leftChars="0" w:right="0" w:rightChars="0"/>
              <w:jc w:val="center"/>
              <w:rPr>
                <w:rFonts w:hint="eastAsia" w:ascii="宋体" w:hAnsi="宋体" w:eastAsia="宋体" w:cs="宋体"/>
                <w:b/>
                <w:sz w:val="24"/>
                <w:highlight w:val="none"/>
              </w:rPr>
            </w:pPr>
            <w:r>
              <w:rPr>
                <w:rFonts w:hint="eastAsia" w:ascii="宋体" w:hAnsi="宋体" w:eastAsia="宋体" w:cs="宋体"/>
                <w:b/>
                <w:sz w:val="24"/>
                <w:highlight w:val="none"/>
              </w:rPr>
              <w:t>一</w:t>
            </w:r>
          </w:p>
        </w:tc>
        <w:tc>
          <w:tcPr>
            <w:tcW w:w="9695" w:type="dxa"/>
            <w:gridSpan w:val="3"/>
            <w:vAlign w:val="center"/>
          </w:tcPr>
          <w:p w14:paraId="14865537">
            <w:pPr>
              <w:snapToGrid w:val="0"/>
              <w:spacing w:line="240" w:lineRule="auto"/>
              <w:ind w:left="0" w:leftChars="0" w:right="0" w:rightChars="0"/>
              <w:jc w:val="center"/>
              <w:rPr>
                <w:rFonts w:hint="eastAsia" w:ascii="宋体" w:hAnsi="宋体" w:eastAsia="宋体" w:cs="宋体"/>
                <w:b/>
                <w:sz w:val="24"/>
                <w:highlight w:val="none"/>
              </w:rPr>
            </w:pPr>
            <w:r>
              <w:rPr>
                <w:rFonts w:hint="eastAsia" w:ascii="宋体" w:hAnsi="宋体" w:eastAsia="宋体" w:cs="宋体"/>
                <w:b/>
                <w:sz w:val="24"/>
                <w:highlight w:val="none"/>
              </w:rPr>
              <w:t>技术部分（合计55分）</w:t>
            </w:r>
          </w:p>
        </w:tc>
      </w:tr>
      <w:tr w14:paraId="75C7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663" w:type="dxa"/>
            <w:vAlign w:val="center"/>
          </w:tcPr>
          <w:p w14:paraId="566CB5BC">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2192" w:type="dxa"/>
            <w:vAlign w:val="center"/>
          </w:tcPr>
          <w:p w14:paraId="334E12D2">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所响应产品对用户需求书中带▲号的重要技术参数的符合性</w:t>
            </w:r>
          </w:p>
        </w:tc>
        <w:tc>
          <w:tcPr>
            <w:tcW w:w="6465" w:type="dxa"/>
            <w:vAlign w:val="center"/>
          </w:tcPr>
          <w:p w14:paraId="4788C49A">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每满足一项用户需求书中带“▲”号的</w:t>
            </w:r>
            <w:r>
              <w:rPr>
                <w:rFonts w:hint="eastAsia" w:ascii="宋体" w:hAnsi="宋体" w:eastAsia="宋体" w:cs="宋体"/>
                <w:sz w:val="24"/>
                <w:highlight w:val="none"/>
              </w:rPr>
              <w:t>重要技术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11</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分；</w:t>
            </w:r>
          </w:p>
          <w:p w14:paraId="43C71803">
            <w:pPr>
              <w:pStyle w:val="5"/>
              <w:spacing w:line="360" w:lineRule="auto"/>
              <w:ind w:firstLine="0"/>
              <w:rPr>
                <w:rFonts w:hint="eastAsia" w:ascii="宋体" w:hAnsi="宋体" w:eastAsia="宋体" w:cs="宋体"/>
                <w:sz w:val="24"/>
                <w:highlight w:val="none"/>
              </w:rPr>
            </w:pPr>
            <w:r>
              <w:rPr>
                <w:rFonts w:hint="eastAsia" w:ascii="宋体" w:hAnsi="宋体" w:eastAsia="宋体" w:cs="宋体"/>
                <w:sz w:val="24"/>
                <w:highlight w:val="none"/>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1038" w:type="dxa"/>
            <w:vAlign w:val="center"/>
          </w:tcPr>
          <w:p w14:paraId="690E1260">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22</w:t>
            </w:r>
          </w:p>
        </w:tc>
      </w:tr>
      <w:tr w14:paraId="745F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63" w:type="dxa"/>
            <w:vAlign w:val="center"/>
          </w:tcPr>
          <w:p w14:paraId="61370C14">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2192" w:type="dxa"/>
            <w:vAlign w:val="center"/>
          </w:tcPr>
          <w:p w14:paraId="70943772">
            <w:pPr>
              <w:widowControl/>
              <w:spacing w:line="360" w:lineRule="auto"/>
              <w:rPr>
                <w:rFonts w:hint="eastAsia" w:ascii="宋体" w:hAnsi="宋体" w:eastAsia="宋体" w:cs="宋体"/>
                <w:bCs/>
                <w:sz w:val="24"/>
                <w:highlight w:val="none"/>
              </w:rPr>
            </w:pPr>
            <w:r>
              <w:rPr>
                <w:rFonts w:hint="eastAsia" w:ascii="宋体" w:hAnsi="宋体" w:eastAsia="宋体" w:cs="宋体"/>
                <w:sz w:val="24"/>
                <w:highlight w:val="none"/>
              </w:rPr>
              <w:t>所响应货物技术参数及性能与技术规格要求的符合性</w:t>
            </w:r>
          </w:p>
        </w:tc>
        <w:tc>
          <w:tcPr>
            <w:tcW w:w="6465" w:type="dxa"/>
            <w:vAlign w:val="center"/>
          </w:tcPr>
          <w:p w14:paraId="6E37EE3A">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需求</w:t>
            </w:r>
            <w:r>
              <w:rPr>
                <w:rFonts w:hint="eastAsia" w:ascii="宋体" w:hAnsi="宋体" w:eastAsia="宋体" w:cs="宋体"/>
                <w:b/>
                <w:sz w:val="24"/>
                <w:highlight w:val="none"/>
              </w:rPr>
              <w:t>参数”</w:t>
            </w:r>
            <w:r>
              <w:rPr>
                <w:rFonts w:hint="eastAsia" w:ascii="宋体" w:hAnsi="宋体" w:eastAsia="宋体" w:cs="宋体"/>
                <w:kern w:val="2"/>
                <w:sz w:val="24"/>
                <w:highlight w:val="none"/>
              </w:rPr>
              <w:t>中不带“▲”号的</w:t>
            </w:r>
            <w:r>
              <w:rPr>
                <w:rFonts w:hint="eastAsia" w:ascii="宋体" w:hAnsi="宋体" w:eastAsia="宋体" w:cs="宋体"/>
                <w:sz w:val="24"/>
                <w:highlight w:val="none"/>
              </w:rPr>
              <w:t>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26</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0.5</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分；</w:t>
            </w:r>
          </w:p>
        </w:tc>
        <w:tc>
          <w:tcPr>
            <w:tcW w:w="1038" w:type="dxa"/>
            <w:vAlign w:val="center"/>
          </w:tcPr>
          <w:p w14:paraId="5D3786D0">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13</w:t>
            </w:r>
          </w:p>
        </w:tc>
      </w:tr>
      <w:tr w14:paraId="37B0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663" w:type="dxa"/>
            <w:vAlign w:val="center"/>
          </w:tcPr>
          <w:p w14:paraId="7EDB59B4">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2192" w:type="dxa"/>
            <w:vAlign w:val="center"/>
          </w:tcPr>
          <w:p w14:paraId="22418956">
            <w:pPr>
              <w:widowControl/>
              <w:spacing w:line="360" w:lineRule="auto"/>
              <w:jc w:val="center"/>
              <w:rPr>
                <w:rFonts w:hint="eastAsia" w:ascii="宋体" w:hAnsi="宋体" w:eastAsia="宋体" w:cs="宋体"/>
                <w:bCs/>
                <w:sz w:val="24"/>
                <w:highlight w:val="none"/>
              </w:rPr>
            </w:pPr>
            <w:r>
              <w:rPr>
                <w:rFonts w:hint="eastAsia" w:ascii="宋体" w:hAnsi="宋体" w:eastAsia="宋体" w:cs="宋体"/>
                <w:sz w:val="24"/>
                <w:szCs w:val="24"/>
                <w:highlight w:val="none"/>
              </w:rPr>
              <w:t>质量管理及保障措施方案</w:t>
            </w:r>
          </w:p>
        </w:tc>
        <w:tc>
          <w:tcPr>
            <w:tcW w:w="6465" w:type="dxa"/>
            <w:vAlign w:val="center"/>
          </w:tcPr>
          <w:p w14:paraId="4DEE26DC">
            <w:pPr>
              <w:pStyle w:val="5"/>
              <w:spacing w:line="24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质量管理及保障措施方案</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货物生产及质量保障措施</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货物质检材料；③货物存储及运输</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④交货验收流程；⑤全链条追溯（产品质量追溯档案）</w:t>
            </w:r>
          </w:p>
          <w:p w14:paraId="6EE11E38">
            <w:pPr>
              <w:pStyle w:val="5"/>
              <w:spacing w:line="240" w:lineRule="auto"/>
              <w:ind w:firstLine="0"/>
              <w:rPr>
                <w:rFonts w:hint="eastAsia" w:ascii="宋体" w:hAnsi="宋体" w:eastAsia="宋体" w:cs="宋体"/>
                <w:sz w:val="24"/>
                <w:highlight w:val="none"/>
              </w:rPr>
            </w:pPr>
            <w:r>
              <w:rPr>
                <w:rFonts w:hint="eastAsia" w:ascii="宋体" w:hAnsi="宋体" w:eastAsia="宋体" w:cs="宋体"/>
                <w:sz w:val="24"/>
                <w:szCs w:val="24"/>
                <w:highlight w:val="none"/>
              </w:rPr>
              <w:t>完全满足且优于采购需求的，得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分；完全满足采购需求的，得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分；不完全满足采购需求的，得1分；其他或不提供的，得0分。</w:t>
            </w:r>
          </w:p>
        </w:tc>
        <w:tc>
          <w:tcPr>
            <w:tcW w:w="1038" w:type="dxa"/>
            <w:vAlign w:val="center"/>
          </w:tcPr>
          <w:p w14:paraId="72B415CB">
            <w:pPr>
              <w:pStyle w:val="5"/>
              <w:spacing w:line="360" w:lineRule="auto"/>
              <w:ind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r>
      <w:tr w14:paraId="1A8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63" w:type="dxa"/>
            <w:vAlign w:val="center"/>
          </w:tcPr>
          <w:p w14:paraId="41E72949">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2192" w:type="dxa"/>
            <w:vAlign w:val="center"/>
          </w:tcPr>
          <w:p w14:paraId="0AEC7E4A">
            <w:pPr>
              <w:widowControl/>
              <w:spacing w:line="360" w:lineRule="auto"/>
              <w:jc w:val="center"/>
              <w:rPr>
                <w:rFonts w:hint="eastAsia" w:ascii="宋体" w:hAnsi="宋体" w:eastAsia="宋体" w:cs="宋体"/>
                <w:bCs/>
                <w:sz w:val="24"/>
                <w:highlight w:val="none"/>
              </w:rPr>
            </w:pPr>
            <w:r>
              <w:rPr>
                <w:rFonts w:hint="eastAsia" w:ascii="宋体" w:hAnsi="宋体" w:eastAsia="宋体" w:cs="宋体"/>
                <w:sz w:val="24"/>
                <w:szCs w:val="24"/>
                <w:highlight w:val="none"/>
              </w:rPr>
              <w:t>培训方案</w:t>
            </w:r>
          </w:p>
        </w:tc>
        <w:tc>
          <w:tcPr>
            <w:tcW w:w="6465" w:type="dxa"/>
            <w:vAlign w:val="center"/>
          </w:tcPr>
          <w:p w14:paraId="6CFF1A7A">
            <w:pPr>
              <w:spacing w:line="288" w:lineRule="auto"/>
              <w:rPr>
                <w:rFonts w:hint="eastAsia" w:ascii="宋体" w:hAnsi="宋体" w:eastAsia="宋体" w:cs="宋体"/>
                <w:sz w:val="24"/>
                <w:szCs w:val="24"/>
                <w:highlight w:val="none"/>
              </w:rPr>
            </w:pPr>
            <w:bookmarkStart w:id="0" w:name="OLE_LINK2"/>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培训要求响应情况</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培训次数与形式</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培训内容及效果保障；③培训资料及费用说明</w:t>
            </w:r>
            <w:r>
              <w:rPr>
                <w:rFonts w:hint="eastAsia" w:ascii="宋体" w:hAnsi="宋体" w:eastAsia="宋体" w:cs="宋体"/>
                <w:sz w:val="24"/>
                <w:szCs w:val="24"/>
                <w:highlight w:val="none"/>
              </w:rPr>
              <w:t xml:space="preserve">； </w:t>
            </w:r>
          </w:p>
          <w:p w14:paraId="7BD50AE8">
            <w:pPr>
              <w:spacing w:line="288" w:lineRule="auto"/>
              <w:rPr>
                <w:rFonts w:hint="eastAsia" w:ascii="宋体" w:hAnsi="宋体" w:eastAsia="宋体" w:cs="宋体"/>
                <w:sz w:val="24"/>
                <w:highlight w:val="none"/>
              </w:rPr>
            </w:pPr>
            <w:r>
              <w:rPr>
                <w:rFonts w:hint="eastAsia" w:ascii="宋体" w:hAnsi="宋体" w:eastAsia="宋体" w:cs="宋体"/>
                <w:sz w:val="24"/>
                <w:szCs w:val="24"/>
                <w:highlight w:val="none"/>
              </w:rPr>
              <w:t>完全满足且优于采购需求的，得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分；完全满足采购需求的，得3分；不完全满足采购需求的，得1分；其他或不提供的，得0分。</w:t>
            </w:r>
            <w:bookmarkEnd w:id="0"/>
          </w:p>
        </w:tc>
        <w:tc>
          <w:tcPr>
            <w:tcW w:w="1038" w:type="dxa"/>
            <w:vAlign w:val="center"/>
          </w:tcPr>
          <w:p w14:paraId="4090AA0A">
            <w:pPr>
              <w:pStyle w:val="5"/>
              <w:spacing w:line="360" w:lineRule="auto"/>
              <w:ind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r>
      <w:tr w14:paraId="1588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3" w:type="dxa"/>
            <w:vAlign w:val="center"/>
          </w:tcPr>
          <w:p w14:paraId="0A0A7E68">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2192" w:type="dxa"/>
            <w:vAlign w:val="center"/>
          </w:tcPr>
          <w:p w14:paraId="013387C2">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lang w:val="zh-CN"/>
              </w:rPr>
              <w:t>供应商供货能力</w:t>
            </w:r>
          </w:p>
        </w:tc>
        <w:tc>
          <w:tcPr>
            <w:tcW w:w="6465" w:type="dxa"/>
            <w:vAlign w:val="center"/>
          </w:tcPr>
          <w:p w14:paraId="05BE2A07">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如供应商为所响应产品制造商或具有有效授权的代理经销商，得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分，提供有效的制造商资格证明或授权证明材料并加盖投标人公章，如不提供，不得分。</w:t>
            </w:r>
          </w:p>
          <w:p w14:paraId="7D55F678">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投标人须提供所投产品原厂商出具的保修承诺函，并加盖投标人公章。未按要求提供承诺函的，本项不得分。本项最高得分为4分。</w:t>
            </w:r>
          </w:p>
          <w:p w14:paraId="063D0FF6">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（1）承诺自验收合格之日起，原厂质保年限为3年的，得3分；</w:t>
            </w:r>
          </w:p>
          <w:p w14:paraId="6619300F">
            <w:pPr>
              <w:pStyle w:val="5"/>
              <w:spacing w:line="360" w:lineRule="auto"/>
              <w:ind w:firstLine="0"/>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（2）在3年基础上，质保年限每增加1年，加0.5分，本小项最高得分为1分。</w:t>
            </w:r>
          </w:p>
        </w:tc>
        <w:tc>
          <w:tcPr>
            <w:tcW w:w="1038" w:type="dxa"/>
            <w:vAlign w:val="center"/>
          </w:tcPr>
          <w:p w14:paraId="0CC32839">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r>
      <w:tr w14:paraId="58F7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63" w:type="dxa"/>
            <w:vAlign w:val="center"/>
          </w:tcPr>
          <w:p w14:paraId="0DED44E8">
            <w:pPr>
              <w:pStyle w:val="8"/>
              <w:autoSpaceDE/>
              <w:autoSpaceDN/>
              <w:snapToGrid w:val="0"/>
              <w:spacing w:line="240" w:lineRule="auto"/>
              <w:ind w:firstLine="0" w:firstLineChars="0"/>
              <w:jc w:val="center"/>
              <w:textAlignment w:val="baseline"/>
              <w:rPr>
                <w:rFonts w:hint="eastAsia" w:ascii="宋体" w:hAnsi="宋体" w:eastAsia="宋体" w:cs="宋体"/>
                <w:sz w:val="24"/>
                <w:highlight w:val="none"/>
              </w:rPr>
            </w:pPr>
            <w:r>
              <w:rPr>
                <w:rFonts w:hint="eastAsia" w:ascii="宋体" w:hAnsi="宋体" w:eastAsia="宋体" w:cs="宋体"/>
                <w:b/>
                <w:sz w:val="24"/>
                <w:highlight w:val="none"/>
                <w:lang w:val="en-US" w:eastAsia="zh-CN" w:bidi="ar-SA"/>
              </w:rPr>
              <w:t>二</w:t>
            </w:r>
          </w:p>
        </w:tc>
        <w:tc>
          <w:tcPr>
            <w:tcW w:w="9695" w:type="dxa"/>
            <w:gridSpan w:val="3"/>
            <w:vAlign w:val="center"/>
          </w:tcPr>
          <w:p w14:paraId="375F646E">
            <w:pPr>
              <w:spacing w:line="240" w:lineRule="auto"/>
              <w:jc w:val="center"/>
              <w:rPr>
                <w:rFonts w:hint="eastAsia" w:ascii="宋体" w:hAnsi="宋体" w:eastAsia="宋体" w:cs="宋体"/>
                <w:sz w:val="24"/>
                <w:highlight w:val="none"/>
              </w:rPr>
            </w:pPr>
            <w:r>
              <w:rPr>
                <w:rFonts w:hint="eastAsia" w:ascii="宋体" w:hAnsi="宋体" w:eastAsia="宋体" w:cs="宋体"/>
                <w:b/>
                <w:sz w:val="24"/>
                <w:highlight w:val="none"/>
              </w:rPr>
              <w:t>商务部分（合计15分）</w:t>
            </w:r>
          </w:p>
        </w:tc>
      </w:tr>
      <w:tr w14:paraId="521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663" w:type="dxa"/>
            <w:vAlign w:val="center"/>
          </w:tcPr>
          <w:p w14:paraId="520EAF87">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2192" w:type="dxa"/>
            <w:vAlign w:val="center"/>
          </w:tcPr>
          <w:p w14:paraId="6C1B9427">
            <w:pPr>
              <w:tabs>
                <w:tab w:val="left" w:pos="840"/>
              </w:tabs>
              <w:spacing w:line="360" w:lineRule="auto"/>
              <w:jc w:val="center"/>
              <w:rPr>
                <w:rFonts w:hint="eastAsia" w:ascii="宋体" w:hAnsi="宋体" w:eastAsia="宋体" w:cs="宋体"/>
                <w:sz w:val="24"/>
                <w:highlight w:val="none"/>
              </w:rPr>
            </w:pPr>
            <w:r>
              <w:rPr>
                <w:rFonts w:hint="eastAsia" w:ascii="宋体" w:hAnsi="宋体" w:eastAsia="宋体" w:cs="宋体"/>
                <w:sz w:val="24"/>
                <w:szCs w:val="24"/>
                <w:highlight w:val="none"/>
              </w:rPr>
              <w:t>售后服务方案</w:t>
            </w:r>
          </w:p>
        </w:tc>
        <w:tc>
          <w:tcPr>
            <w:tcW w:w="6465" w:type="dxa"/>
            <w:vAlign w:val="center"/>
          </w:tcPr>
          <w:p w14:paraId="59A58DF7">
            <w:pPr>
              <w:spacing w:line="360" w:lineRule="auto"/>
              <w:rPr>
                <w:rFonts w:hint="eastAsia" w:ascii="宋体" w:hAnsi="宋体" w:eastAsia="宋体" w:cs="宋体"/>
                <w:sz w:val="24"/>
                <w:highlight w:val="none"/>
              </w:rPr>
            </w:pPr>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售后服务要求响应情况</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售后服务能力</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售后服务响应时效；③培训资料及费用说明</w:t>
            </w:r>
            <w:r>
              <w:rPr>
                <w:rFonts w:hint="eastAsia" w:ascii="宋体" w:hAnsi="宋体" w:eastAsia="宋体" w:cs="宋体"/>
                <w:sz w:val="24"/>
                <w:szCs w:val="24"/>
                <w:highlight w:val="none"/>
              </w:rPr>
              <w:t>；</w:t>
            </w:r>
          </w:p>
          <w:p w14:paraId="6A3A5F1C">
            <w:pPr>
              <w:spacing w:line="360" w:lineRule="auto"/>
              <w:rPr>
                <w:rFonts w:hint="eastAsia" w:ascii="宋体" w:hAnsi="宋体" w:eastAsia="宋体" w:cs="宋体"/>
                <w:sz w:val="24"/>
                <w:highlight w:val="none"/>
              </w:rPr>
            </w:pPr>
            <w:r>
              <w:rPr>
                <w:rFonts w:hint="eastAsia" w:ascii="宋体" w:hAnsi="宋体" w:eastAsia="宋体" w:cs="宋体"/>
                <w:sz w:val="24"/>
                <w:highlight w:val="none"/>
              </w:rPr>
              <w:t>综合评价优</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分，次之</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若</w:t>
            </w:r>
            <w:r>
              <w:rPr>
                <w:rFonts w:hint="eastAsia" w:ascii="宋体" w:hAnsi="宋体" w:eastAsia="宋体" w:cs="宋体"/>
                <w:sz w:val="24"/>
                <w:highlight w:val="none"/>
              </w:rPr>
              <w:t>没有具体承诺或不提供方案的不得分。</w:t>
            </w:r>
          </w:p>
        </w:tc>
        <w:tc>
          <w:tcPr>
            <w:tcW w:w="1038" w:type="dxa"/>
            <w:vAlign w:val="center"/>
          </w:tcPr>
          <w:p w14:paraId="1B706C3A">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r>
      <w:tr w14:paraId="2FF9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663" w:type="dxa"/>
            <w:vAlign w:val="center"/>
          </w:tcPr>
          <w:p w14:paraId="55F6B820">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2192" w:type="dxa"/>
            <w:vAlign w:val="center"/>
          </w:tcPr>
          <w:p w14:paraId="4C2BBD31">
            <w:pPr>
              <w:tabs>
                <w:tab w:val="left" w:pos="84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自202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年1月1日以来的设备业绩和信誉</w:t>
            </w:r>
          </w:p>
        </w:tc>
        <w:tc>
          <w:tcPr>
            <w:tcW w:w="6465" w:type="dxa"/>
            <w:vAlign w:val="center"/>
          </w:tcPr>
          <w:p w14:paraId="3B99DCCB">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lang w:val="zh-CN"/>
              </w:rPr>
              <w:t>每提供一项</w:t>
            </w:r>
            <w:r>
              <w:rPr>
                <w:rFonts w:hint="eastAsia" w:ascii="宋体" w:hAnsi="宋体" w:eastAsia="宋体" w:cs="宋体"/>
                <w:sz w:val="24"/>
                <w:highlight w:val="none"/>
                <w:lang w:val="en-US" w:eastAsia="zh-CN"/>
              </w:rPr>
              <w:t>供应商成交的该设备</w:t>
            </w:r>
            <w:r>
              <w:rPr>
                <w:rFonts w:hint="eastAsia" w:ascii="宋体" w:hAnsi="宋体" w:eastAsia="宋体" w:cs="宋体"/>
                <w:sz w:val="24"/>
                <w:highlight w:val="none"/>
                <w:lang w:val="zh-CN"/>
              </w:rPr>
              <w:t>业绩的合同和中标通知书复印件并加盖公章得</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分，最高得</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val="zh-CN"/>
              </w:rPr>
              <w:t xml:space="preserve">分，不提供不得分。 </w:t>
            </w:r>
          </w:p>
          <w:p w14:paraId="7C988979">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注：以合同签订时间为准。</w:t>
            </w:r>
          </w:p>
          <w:p w14:paraId="76F059C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1.要求同时提供合同关键信息（含首页、签字页）</w:t>
            </w:r>
            <w:r>
              <w:rPr>
                <w:rFonts w:hint="eastAsia" w:ascii="宋体" w:hAnsi="宋体" w:eastAsia="宋体" w:cs="宋体"/>
                <w:sz w:val="24"/>
                <w:highlight w:val="none"/>
                <w:lang w:val="zh-CN"/>
              </w:rPr>
              <w:t>和中标通知书</w:t>
            </w:r>
            <w:r>
              <w:rPr>
                <w:rFonts w:hint="eastAsia" w:ascii="宋体" w:hAnsi="宋体" w:eastAsia="宋体" w:cs="宋体"/>
                <w:sz w:val="24"/>
                <w:highlight w:val="none"/>
              </w:rPr>
              <w:t>证明文件作为得分依据。</w:t>
            </w:r>
          </w:p>
          <w:p w14:paraId="49B50F3C">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.资料均要求提供扫描件加盖投标人公章。评分中出现无证明资料或专家无法凭所提供资料判断是否得分的情况，一律作不得分处理。</w:t>
            </w:r>
          </w:p>
        </w:tc>
        <w:tc>
          <w:tcPr>
            <w:tcW w:w="1038" w:type="dxa"/>
            <w:vAlign w:val="center"/>
          </w:tcPr>
          <w:p w14:paraId="6FB8B523">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r>
      <w:tr w14:paraId="7A46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663" w:type="dxa"/>
            <w:vAlign w:val="center"/>
          </w:tcPr>
          <w:p w14:paraId="1B909A93">
            <w:pPr>
              <w:pStyle w:val="8"/>
              <w:numPr>
                <w:ilvl w:val="0"/>
                <w:numId w:val="0"/>
              </w:numPr>
              <w:autoSpaceDE/>
              <w:autoSpaceDN/>
              <w:snapToGrid w:val="0"/>
              <w:spacing w:line="36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2192" w:type="dxa"/>
            <w:vAlign w:val="center"/>
          </w:tcPr>
          <w:p w14:paraId="5777BC25">
            <w:pPr>
              <w:tabs>
                <w:tab w:val="left" w:pos="84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t>使用用户评价</w:t>
            </w:r>
          </w:p>
        </w:tc>
        <w:tc>
          <w:tcPr>
            <w:tcW w:w="6465" w:type="dxa"/>
            <w:vAlign w:val="center"/>
          </w:tcPr>
          <w:p w14:paraId="1EF77BBE">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提供使用用户评价，每提供一个类似“满意”或“非常满意”或“优”的使用用户评价得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分，本项最高不超过4分。须提供用户单位的评价证明（格式自拟，须加盖用户单位印章）</w:t>
            </w:r>
          </w:p>
        </w:tc>
        <w:tc>
          <w:tcPr>
            <w:tcW w:w="1038" w:type="dxa"/>
            <w:vAlign w:val="center"/>
          </w:tcPr>
          <w:p w14:paraId="05D4A97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r>
      <w:tr w14:paraId="579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63" w:type="dxa"/>
            <w:vAlign w:val="center"/>
          </w:tcPr>
          <w:p w14:paraId="130DD4BB">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w:t>
            </w:r>
          </w:p>
        </w:tc>
        <w:tc>
          <w:tcPr>
            <w:tcW w:w="9695" w:type="dxa"/>
            <w:gridSpan w:val="3"/>
            <w:vAlign w:val="center"/>
          </w:tcPr>
          <w:p w14:paraId="53BF56E1">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报价</w:t>
            </w:r>
            <w:r>
              <w:rPr>
                <w:rFonts w:hint="eastAsia" w:ascii="宋体" w:hAnsi="宋体" w:eastAsia="宋体" w:cs="宋体"/>
                <w:b/>
                <w:sz w:val="24"/>
                <w:highlight w:val="none"/>
              </w:rPr>
              <w:t>部分（合计</w:t>
            </w:r>
            <w:r>
              <w:rPr>
                <w:rFonts w:hint="eastAsia" w:ascii="宋体" w:hAnsi="宋体" w:eastAsia="宋体" w:cs="宋体"/>
                <w:b/>
                <w:sz w:val="24"/>
                <w:highlight w:val="none"/>
                <w:lang w:val="en-US" w:eastAsia="zh-CN"/>
              </w:rPr>
              <w:t>30</w:t>
            </w:r>
            <w:r>
              <w:rPr>
                <w:rFonts w:hint="eastAsia" w:ascii="宋体" w:hAnsi="宋体" w:eastAsia="宋体" w:cs="宋体"/>
                <w:b/>
                <w:sz w:val="24"/>
                <w:highlight w:val="none"/>
              </w:rPr>
              <w:t>分）</w:t>
            </w:r>
          </w:p>
        </w:tc>
      </w:tr>
      <w:tr w14:paraId="36D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63" w:type="dxa"/>
            <w:vAlign w:val="center"/>
          </w:tcPr>
          <w:p w14:paraId="79D2F38F">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w:t>
            </w:r>
          </w:p>
        </w:tc>
        <w:tc>
          <w:tcPr>
            <w:tcW w:w="2192" w:type="dxa"/>
            <w:vAlign w:val="center"/>
          </w:tcPr>
          <w:p w14:paraId="6D4F6F9D">
            <w:pPr>
              <w:tabs>
                <w:tab w:val="left" w:pos="840"/>
              </w:tabs>
              <w:spacing w:line="240"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投标报价得分</w:t>
            </w:r>
          </w:p>
        </w:tc>
        <w:tc>
          <w:tcPr>
            <w:tcW w:w="6465" w:type="dxa"/>
            <w:vAlign w:val="center"/>
          </w:tcPr>
          <w:p w14:paraId="0711D088">
            <w:pPr>
              <w:widowControl/>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投标报价得分＝（评标基准价/投标报价）×价格分值</w:t>
            </w:r>
          </w:p>
          <w:p w14:paraId="542F1378">
            <w:pPr>
              <w:widowControl/>
              <w:spacing w:line="360" w:lineRule="auto"/>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rPr>
              <w:t>备注：投标报价得分四舍五入后，小数点后保留两位有效数</w:t>
            </w:r>
          </w:p>
        </w:tc>
        <w:tc>
          <w:tcPr>
            <w:tcW w:w="1038" w:type="dxa"/>
            <w:vAlign w:val="center"/>
          </w:tcPr>
          <w:p w14:paraId="233489FB">
            <w:pPr>
              <w:spacing w:line="240"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w:t>
            </w:r>
          </w:p>
        </w:tc>
      </w:tr>
      <w:tr w14:paraId="238D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320" w:type="dxa"/>
            <w:gridSpan w:val="3"/>
            <w:vAlign w:val="center"/>
          </w:tcPr>
          <w:p w14:paraId="45698F87">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1038" w:type="dxa"/>
            <w:vAlign w:val="center"/>
          </w:tcPr>
          <w:p w14:paraId="2C87DC18">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100分</w:t>
            </w:r>
          </w:p>
        </w:tc>
      </w:tr>
    </w:tbl>
    <w:p w14:paraId="60C2D998">
      <w:pPr>
        <w:pageBreakBefore w:val="0"/>
        <w:kinsoku/>
        <w:wordWrap/>
        <w:overflowPunct/>
        <w:topLinePunct w:val="0"/>
        <w:bidi w:val="0"/>
        <w:spacing w:line="576" w:lineRule="exact"/>
        <w:rPr>
          <w:rFonts w:hint="default" w:ascii="Times New Roman" w:hAnsi="Times New Roman" w:cs="Times New Roman"/>
          <w:highlight w:val="none"/>
        </w:rPr>
      </w:pPr>
      <w:r>
        <w:rPr>
          <w:rFonts w:hint="default" w:ascii="Times New Roman" w:hAnsi="Times New Roman" w:cs="Times New Roman"/>
          <w:highlight w:val="none"/>
        </w:rPr>
        <w:br w:type="page"/>
      </w:r>
    </w:p>
    <w:p w14:paraId="7E3F55D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E0FF3"/>
    <w:rsid w:val="1C0E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2026-07-24T02:00:00Z</dcterms:created>
  <dc:creator>卑微小虎崽</dc:creator>
  <cp:lastModifiedBy>卑微小虎崽</cp:lastModifiedBy>
  <dcterms:modified xsi:type="dcterms:W3CDTF">2026-07-24T02:00:44Z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C9AD70388D0A41A49BCB450A10191F05_11</vt:lpwstr>
  </property>
  <property fmtid="{D5CDD505-2E9C-101B-9397-08002B2CF9AE}" pid="4" name="KSOTemplateDocerSaveRecord">
    <vt:lpwstr>eyJoZGlkIjoiNjNkZDNiNmE1ZWQxMmM5NjA4NDE0OWFmMTIyOTlmMDQiLCJ1c2VySWQiOiIxMzQ0MTYwMDk1In0=</vt:lpwstr>
  </property>
</Properties>
</file>