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E2F3A">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附件2：</w:t>
      </w:r>
    </w:p>
    <w:p w14:paraId="1927C4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b/>
          <w:sz w:val="44"/>
          <w:szCs w:val="24"/>
          <w:highlight w:val="none"/>
        </w:rPr>
        <w:t>合　同　书（货物）</w:t>
      </w:r>
    </w:p>
    <w:p w14:paraId="45EA01C3">
      <w:pPr>
        <w:pStyle w:val="9"/>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highlight w:val="none"/>
          <w:lang w:val="en-US" w:eastAsia="zh-CN"/>
        </w:rPr>
      </w:pPr>
      <w:r>
        <w:rPr>
          <w:rFonts w:hint="default" w:ascii="Times New Roman" w:hAnsi="Times New Roman" w:cs="Times New Roman"/>
          <w:color w:val="222222"/>
          <w:sz w:val="28"/>
          <w:highlight w:val="none"/>
        </w:rPr>
        <w:t>项目名称：</w:t>
      </w:r>
      <w:r>
        <w:rPr>
          <w:rFonts w:hint="default" w:ascii="Times New Roman" w:hAnsi="Times New Roman" w:cs="Times New Roman"/>
          <w:color w:val="222222"/>
          <w:sz w:val="28"/>
          <w:highlight w:val="none"/>
          <w:lang w:val="en-US" w:eastAsia="zh-CN"/>
        </w:rPr>
        <w:t>广东省第一荣军优抚医院气囊式体外反搏设备采购项目</w:t>
      </w:r>
    </w:p>
    <w:p w14:paraId="0D290E6C">
      <w:pPr>
        <w:pStyle w:val="9"/>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highlight w:val="none"/>
        </w:rPr>
      </w:pPr>
    </w:p>
    <w:p w14:paraId="00F84C94">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甲　　方：</w:t>
      </w:r>
      <w:r>
        <w:rPr>
          <w:rFonts w:hint="default" w:ascii="Times New Roman" w:hAnsi="Times New Roman" w:cs="Times New Roman"/>
          <w:b/>
          <w:sz w:val="24"/>
          <w:highlight w:val="none"/>
          <w:lang w:eastAsia="zh-CN"/>
        </w:rPr>
        <w:t>广东省第一荣军优抚医院</w:t>
      </w:r>
    </w:p>
    <w:p w14:paraId="5DD432B0">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lang w:val="en-US" w:eastAsia="zh-CN"/>
        </w:rPr>
        <w:t>020-84187600-2609</w:t>
      </w:r>
      <w:r>
        <w:rPr>
          <w:rFonts w:hint="default" w:ascii="Times New Roman" w:hAnsi="Times New Roman" w:cs="Times New Roman"/>
          <w:sz w:val="24"/>
          <w:highlight w:val="none"/>
        </w:rPr>
        <w:t>　　</w:t>
      </w:r>
    </w:p>
    <w:p w14:paraId="22B22048">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lang w:eastAsia="zh-CN"/>
        </w:rPr>
        <w:t>广州市海珠区新港西路</w:t>
      </w:r>
      <w:r>
        <w:rPr>
          <w:rFonts w:hint="default" w:ascii="Times New Roman" w:hAnsi="Times New Roman" w:cs="Times New Roman"/>
          <w:sz w:val="24"/>
          <w:highlight w:val="none"/>
          <w:lang w:val="en-US" w:eastAsia="zh-CN"/>
        </w:rPr>
        <w:t>114号</w:t>
      </w:r>
    </w:p>
    <w:p w14:paraId="2AF5C9EA">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highlight w:val="none"/>
        </w:rPr>
      </w:pPr>
    </w:p>
    <w:p w14:paraId="5B3C402D">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乙　　方：</w:t>
      </w:r>
      <w:r>
        <w:rPr>
          <w:rFonts w:hint="default" w:ascii="Times New Roman" w:hAnsi="Times New Roman" w:cs="Times New Roman"/>
          <w:b/>
          <w:sz w:val="24"/>
          <w:highlight w:val="none"/>
          <w:u w:val="single"/>
          <w:lang w:val="en-US" w:eastAsia="zh-CN"/>
        </w:rPr>
        <w:t>XX公司</w:t>
      </w:r>
    </w:p>
    <w:p w14:paraId="2F4443B4">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　　</w:t>
      </w:r>
    </w:p>
    <w:p w14:paraId="04FB805B">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sz w:val="24"/>
          <w:highlight w:val="none"/>
        </w:rPr>
        <w:t>地　　址：</w:t>
      </w:r>
    </w:p>
    <w:p w14:paraId="14BC4A8C">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359054F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根据</w:t>
      </w:r>
      <w:r>
        <w:rPr>
          <w:rFonts w:hint="default" w:ascii="Times New Roman" w:hAnsi="Times New Roman" w:cs="Times New Roman"/>
          <w:sz w:val="24"/>
          <w:highlight w:val="none"/>
          <w:u w:val="single"/>
        </w:rPr>
        <w:t>广东省第一荣军优抚医院</w:t>
      </w:r>
      <w:r>
        <w:rPr>
          <w:rFonts w:hint="default" w:ascii="Times New Roman" w:hAnsi="Times New Roman" w:cs="Times New Roman"/>
          <w:sz w:val="24"/>
          <w:highlight w:val="none"/>
          <w:u w:val="single"/>
          <w:lang w:val="en-US" w:eastAsia="zh-CN"/>
        </w:rPr>
        <w:t>气囊式体外反搏设备</w:t>
      </w:r>
      <w:r>
        <w:rPr>
          <w:rFonts w:hint="default" w:ascii="Times New Roman" w:hAnsi="Times New Roman" w:cs="Times New Roman"/>
          <w:sz w:val="24"/>
          <w:highlight w:val="none"/>
          <w:u w:val="single"/>
        </w:rPr>
        <w:t>采购项目</w:t>
      </w:r>
      <w:r>
        <w:rPr>
          <w:rFonts w:hint="default" w:ascii="Times New Roman" w:hAnsi="Times New Roman" w:cs="Times New Roman"/>
          <w:sz w:val="24"/>
          <w:highlight w:val="none"/>
        </w:rPr>
        <w:t>的采购结果，按照《中华人民共和国政府采购法》《中华人民共和国民法典</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合同编</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》的规定，经双方协商，本着平等互利和诚实信用的原则，一致同意签订本合同如下。</w:t>
      </w:r>
    </w:p>
    <w:p w14:paraId="1A2CF55B">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一、货物内容</w:t>
      </w:r>
    </w:p>
    <w:tbl>
      <w:tblPr>
        <w:tblStyle w:val="6"/>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525"/>
        <w:gridCol w:w="852"/>
        <w:gridCol w:w="780"/>
        <w:gridCol w:w="888"/>
        <w:gridCol w:w="1608"/>
        <w:gridCol w:w="1607"/>
      </w:tblGrid>
      <w:tr w14:paraId="7EB0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Mar>
              <w:top w:w="45" w:type="dxa"/>
              <w:left w:w="75" w:type="dxa"/>
              <w:bottom w:w="30" w:type="dxa"/>
              <w:right w:w="75" w:type="dxa"/>
            </w:tcMar>
            <w:vAlign w:val="center"/>
          </w:tcPr>
          <w:p w14:paraId="42DA64D7">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名称</w:t>
            </w:r>
          </w:p>
        </w:tc>
        <w:tc>
          <w:tcPr>
            <w:tcW w:w="2525" w:type="dxa"/>
            <w:tcMar>
              <w:top w:w="45" w:type="dxa"/>
              <w:left w:w="75" w:type="dxa"/>
              <w:bottom w:w="30" w:type="dxa"/>
              <w:right w:w="75" w:type="dxa"/>
            </w:tcMar>
            <w:vAlign w:val="center"/>
          </w:tcPr>
          <w:p w14:paraId="5140C56C">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品牌、规格、标准/主要服务内容</w:t>
            </w:r>
          </w:p>
        </w:tc>
        <w:tc>
          <w:tcPr>
            <w:tcW w:w="852" w:type="dxa"/>
            <w:tcMar>
              <w:top w:w="45" w:type="dxa"/>
              <w:left w:w="75" w:type="dxa"/>
              <w:bottom w:w="30" w:type="dxa"/>
              <w:right w:w="75" w:type="dxa"/>
            </w:tcMar>
            <w:vAlign w:val="center"/>
          </w:tcPr>
          <w:p w14:paraId="0B89B7D1">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产地</w:t>
            </w:r>
          </w:p>
        </w:tc>
        <w:tc>
          <w:tcPr>
            <w:tcW w:w="780" w:type="dxa"/>
            <w:tcMar>
              <w:top w:w="45" w:type="dxa"/>
              <w:left w:w="75" w:type="dxa"/>
              <w:bottom w:w="30" w:type="dxa"/>
              <w:right w:w="75" w:type="dxa"/>
            </w:tcMar>
            <w:vAlign w:val="center"/>
          </w:tcPr>
          <w:p w14:paraId="018D726E">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数量</w:t>
            </w:r>
          </w:p>
        </w:tc>
        <w:tc>
          <w:tcPr>
            <w:tcW w:w="888" w:type="dxa"/>
            <w:tcMar>
              <w:top w:w="45" w:type="dxa"/>
              <w:left w:w="75" w:type="dxa"/>
              <w:bottom w:w="30" w:type="dxa"/>
              <w:right w:w="75" w:type="dxa"/>
            </w:tcMar>
            <w:vAlign w:val="center"/>
          </w:tcPr>
          <w:p w14:paraId="790406A6">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单位</w:t>
            </w:r>
          </w:p>
        </w:tc>
        <w:tc>
          <w:tcPr>
            <w:tcW w:w="1608" w:type="dxa"/>
            <w:tcMar>
              <w:top w:w="45" w:type="dxa"/>
              <w:left w:w="75" w:type="dxa"/>
              <w:bottom w:w="30" w:type="dxa"/>
              <w:right w:w="75" w:type="dxa"/>
            </w:tcMar>
            <w:vAlign w:val="center"/>
          </w:tcPr>
          <w:p w14:paraId="430367CF">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单价</w:t>
            </w:r>
          </w:p>
          <w:p w14:paraId="3711FA4C">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（元）</w:t>
            </w:r>
          </w:p>
        </w:tc>
        <w:tc>
          <w:tcPr>
            <w:tcW w:w="1607" w:type="dxa"/>
            <w:tcMar>
              <w:top w:w="45" w:type="dxa"/>
              <w:left w:w="75" w:type="dxa"/>
              <w:bottom w:w="30" w:type="dxa"/>
              <w:right w:w="75" w:type="dxa"/>
            </w:tcMar>
            <w:vAlign w:val="center"/>
          </w:tcPr>
          <w:p w14:paraId="0F5E6173">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金额</w:t>
            </w:r>
          </w:p>
          <w:p w14:paraId="3DB27FC8">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（元）</w:t>
            </w:r>
          </w:p>
        </w:tc>
      </w:tr>
      <w:tr w14:paraId="78A8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Mar>
              <w:top w:w="45" w:type="dxa"/>
              <w:left w:w="75" w:type="dxa"/>
              <w:bottom w:w="45" w:type="dxa"/>
              <w:right w:w="75" w:type="dxa"/>
            </w:tcMar>
            <w:vAlign w:val="center"/>
          </w:tcPr>
          <w:p w14:paraId="606FA8B1">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气囊式体外反搏设备</w:t>
            </w:r>
          </w:p>
        </w:tc>
        <w:tc>
          <w:tcPr>
            <w:tcW w:w="2525" w:type="dxa"/>
            <w:tcMar>
              <w:top w:w="45" w:type="dxa"/>
              <w:left w:w="75" w:type="dxa"/>
              <w:bottom w:w="45" w:type="dxa"/>
              <w:right w:w="75" w:type="dxa"/>
            </w:tcMar>
            <w:vAlign w:val="center"/>
          </w:tcPr>
          <w:p w14:paraId="04AF9FB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品牌：</w:t>
            </w:r>
          </w:p>
          <w:p w14:paraId="201C125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lang w:val="en-US"/>
              </w:rPr>
            </w:pPr>
            <w:r>
              <w:rPr>
                <w:rFonts w:hint="default" w:ascii="Times New Roman" w:hAnsi="Times New Roman" w:cs="Times New Roman" w:eastAsiaTheme="minorEastAsia"/>
                <w:sz w:val="24"/>
                <w:szCs w:val="24"/>
                <w:highlight w:val="none"/>
                <w:lang w:val="en-US" w:eastAsia="zh-CN"/>
              </w:rPr>
              <w:t>型号：</w:t>
            </w:r>
          </w:p>
        </w:tc>
        <w:tc>
          <w:tcPr>
            <w:tcW w:w="852" w:type="dxa"/>
            <w:tcMar>
              <w:top w:w="45" w:type="dxa"/>
              <w:left w:w="75" w:type="dxa"/>
              <w:bottom w:w="45" w:type="dxa"/>
              <w:right w:w="75" w:type="dxa"/>
            </w:tcMar>
            <w:vAlign w:val="center"/>
          </w:tcPr>
          <w:p w14:paraId="3383F7F1">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rPr>
            </w:pPr>
          </w:p>
        </w:tc>
        <w:tc>
          <w:tcPr>
            <w:tcW w:w="780" w:type="dxa"/>
            <w:tcMar>
              <w:top w:w="45" w:type="dxa"/>
              <w:left w:w="75" w:type="dxa"/>
              <w:bottom w:w="45" w:type="dxa"/>
              <w:right w:w="75" w:type="dxa"/>
            </w:tcMar>
            <w:vAlign w:val="center"/>
          </w:tcPr>
          <w:p w14:paraId="1CB8096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eastAsia="zh-CN"/>
              </w:rPr>
            </w:pPr>
          </w:p>
        </w:tc>
        <w:tc>
          <w:tcPr>
            <w:tcW w:w="888" w:type="dxa"/>
            <w:tcMar>
              <w:top w:w="45" w:type="dxa"/>
              <w:left w:w="75" w:type="dxa"/>
              <w:bottom w:w="45" w:type="dxa"/>
              <w:right w:w="75" w:type="dxa"/>
            </w:tcMar>
            <w:vAlign w:val="center"/>
          </w:tcPr>
          <w:p w14:paraId="483100E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lang w:val="en-US" w:eastAsia="zh-CN"/>
              </w:rPr>
            </w:pPr>
          </w:p>
        </w:tc>
        <w:tc>
          <w:tcPr>
            <w:tcW w:w="1608" w:type="dxa"/>
            <w:tcMar>
              <w:top w:w="45" w:type="dxa"/>
              <w:left w:w="75" w:type="dxa"/>
              <w:bottom w:w="45" w:type="dxa"/>
              <w:right w:w="75" w:type="dxa"/>
            </w:tcMar>
            <w:vAlign w:val="center"/>
          </w:tcPr>
          <w:p w14:paraId="5C718C5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eastAsia="zh-CN"/>
              </w:rPr>
            </w:pPr>
          </w:p>
        </w:tc>
        <w:tc>
          <w:tcPr>
            <w:tcW w:w="1607" w:type="dxa"/>
            <w:tcMar>
              <w:top w:w="45" w:type="dxa"/>
              <w:left w:w="75" w:type="dxa"/>
              <w:bottom w:w="45" w:type="dxa"/>
              <w:right w:w="75" w:type="dxa"/>
            </w:tcMar>
            <w:vAlign w:val="center"/>
          </w:tcPr>
          <w:p w14:paraId="3C2178C5">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eastAsia="zh-CN"/>
              </w:rPr>
            </w:pPr>
          </w:p>
        </w:tc>
      </w:tr>
      <w:tr w14:paraId="2134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47FCA685">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合计：人民币（大写）：人民币</w:t>
            </w:r>
            <w:r>
              <w:rPr>
                <w:rFonts w:hint="eastAsia" w:ascii="Times New Roman" w:hAnsi="Times New Roman" w:cs="Times New Roman"/>
                <w:sz w:val="24"/>
                <w:szCs w:val="24"/>
                <w:highlight w:val="none"/>
                <w:lang w:val="en-US" w:eastAsia="zh-CN"/>
              </w:rPr>
              <w:t>XX</w:t>
            </w:r>
            <w:r>
              <w:rPr>
                <w:rFonts w:hint="default" w:ascii="Times New Roman" w:hAnsi="Times New Roman" w:cs="Times New Roman"/>
                <w:sz w:val="24"/>
                <w:szCs w:val="24"/>
                <w:highlight w:val="none"/>
                <w:lang w:val="en-US" w:eastAsia="zh-CN"/>
              </w:rPr>
              <w:t>元</w:t>
            </w:r>
            <w:r>
              <w:rPr>
                <w:rFonts w:hint="default" w:ascii="Times New Roman" w:hAnsi="Times New Roman" w:cs="Times New Roman" w:eastAsiaTheme="minorEastAsia"/>
                <w:sz w:val="24"/>
                <w:szCs w:val="24"/>
                <w:highlight w:val="none"/>
                <w:lang w:val="en-US" w:eastAsia="zh-CN"/>
              </w:rPr>
              <w:t>整</w:t>
            </w:r>
            <w:r>
              <w:rPr>
                <w:rFonts w:hint="default" w:ascii="Times New Roman" w:hAnsi="Times New Roman" w:cs="Times New Roman" w:eastAsiaTheme="minorEastAsia"/>
                <w:sz w:val="24"/>
                <w:szCs w:val="24"/>
                <w:highlight w:val="none"/>
              </w:rPr>
              <w:t>，￥：元</w:t>
            </w:r>
          </w:p>
        </w:tc>
      </w:tr>
    </w:tbl>
    <w:p w14:paraId="032F901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合同总额包括乙方设计、安装、随机零配件、标配工具、运输、保险、调试、培训、售后服务期服务、各项税费及合同实施过程中不可预见费用等。</w:t>
      </w:r>
    </w:p>
    <w:p w14:paraId="398E3C1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二、合同金额</w:t>
      </w:r>
    </w:p>
    <w:p w14:paraId="15EC789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合同金额为：人民币（大写）</w:t>
      </w:r>
      <w:r>
        <w:rPr>
          <w:rFonts w:hint="eastAsia" w:ascii="Times New Roman" w:hAnsi="Times New Roman" w:cs="Times New Roman"/>
          <w:sz w:val="24"/>
          <w:highlight w:val="none"/>
          <w:lang w:val="en-US" w:eastAsia="zh-CN"/>
        </w:rPr>
        <w:t>XX</w:t>
      </w:r>
      <w:r>
        <w:rPr>
          <w:rFonts w:hint="default" w:ascii="Times New Roman" w:hAnsi="Times New Roman" w:cs="Times New Roman"/>
          <w:sz w:val="24"/>
          <w:highlight w:val="none"/>
        </w:rPr>
        <w:t>元整（￥.00元）</w:t>
      </w:r>
    </w:p>
    <w:p w14:paraId="2D1F37E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三、设备要求</w:t>
      </w:r>
    </w:p>
    <w:p w14:paraId="52A14E30">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1.货物为原制造商制造的全新产品，整机无污染，无侵权行为、表面无划损、无任何缺陷隐患，在中国境内可依常规安全合法使用。</w:t>
      </w:r>
    </w:p>
    <w:p w14:paraId="4309779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26498E3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四、交货期、交货方式及交货地点</w:t>
      </w:r>
    </w:p>
    <w:p w14:paraId="26D3E1CB">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highlight w:val="none"/>
        </w:rPr>
        <w:t>日内完成供货、安装、调试。</w:t>
      </w:r>
    </w:p>
    <w:p w14:paraId="36DC373B">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2.交货方式：乙方</w:t>
      </w:r>
      <w:r>
        <w:rPr>
          <w:rFonts w:hint="default" w:ascii="Times New Roman" w:hAnsi="Times New Roman" w:cs="Times New Roman"/>
          <w:sz w:val="24"/>
          <w:highlight w:val="none"/>
          <w:lang w:val="en-US" w:eastAsia="zh-CN"/>
        </w:rPr>
        <w:t>负责</w:t>
      </w:r>
      <w:r>
        <w:rPr>
          <w:rFonts w:hint="default" w:ascii="Times New Roman" w:hAnsi="Times New Roman" w:cs="Times New Roman"/>
          <w:sz w:val="24"/>
          <w:highlight w:val="none"/>
        </w:rPr>
        <w:t>将设备运送至甲方指定交货地点。</w:t>
      </w:r>
    </w:p>
    <w:p w14:paraId="7FD3ECE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3.交货地点：甲方指定交货地点。</w:t>
      </w:r>
    </w:p>
    <w:p w14:paraId="5CEAA7F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五、付款方式</w:t>
      </w:r>
    </w:p>
    <w:p w14:paraId="670736F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sz w:val="24"/>
          <w:highlight w:val="none"/>
        </w:rPr>
        <w:t>1.履约保证金：合同签订生效后5个工作日内，乙方按合同总价的5%交付履约保证金给甲方指定账户；乙方逾期支付履约保证金超过15日的，甲方有权解除本合同。</w:t>
      </w:r>
    </w:p>
    <w:p w14:paraId="62A66F2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2.甲方收到乙方交付的履约保证金和提交相应发票后的5个工作日内，甲方支付合同总价的30%。</w:t>
      </w:r>
    </w:p>
    <w:p w14:paraId="3317B0D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.设备安装调试完成</w:t>
      </w:r>
      <w:r>
        <w:rPr>
          <w:rFonts w:hint="default" w:ascii="Times New Roman" w:hAnsi="Times New Roman" w:cs="Times New Roman"/>
          <w:sz w:val="24"/>
          <w:highlight w:val="none"/>
          <w:lang w:eastAsia="zh-CN"/>
        </w:rPr>
        <w:t>且</w:t>
      </w:r>
      <w:r>
        <w:rPr>
          <w:rFonts w:hint="default" w:ascii="Times New Roman" w:hAnsi="Times New Roman" w:cs="Times New Roman"/>
          <w:sz w:val="24"/>
          <w:highlight w:val="none"/>
        </w:rPr>
        <w:t>通过甲方验收，乙方提交全部报告材料及发票后，甲方支付合同总价的70%</w:t>
      </w:r>
      <w:r>
        <w:rPr>
          <w:rFonts w:hint="default" w:ascii="Times New Roman" w:hAnsi="Times New Roman" w:cs="Times New Roman"/>
          <w:sz w:val="24"/>
          <w:highlight w:val="none"/>
          <w:lang w:eastAsia="zh-CN"/>
        </w:rPr>
        <w:t>。乙方完成交付义务并通过甲方验收的，乙方提出申请后，甲方于</w:t>
      </w:r>
      <w:r>
        <w:rPr>
          <w:rFonts w:hint="default" w:ascii="Times New Roman" w:hAnsi="Times New Roman" w:cs="Times New Roman"/>
          <w:sz w:val="24"/>
          <w:highlight w:val="none"/>
          <w:lang w:val="en-US" w:eastAsia="zh-CN"/>
        </w:rPr>
        <w:t>60天内无息返还履约保证金。</w:t>
      </w:r>
    </w:p>
    <w:p w14:paraId="36D0E38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lang w:val="en-US" w:eastAsia="zh-CN"/>
        </w:rPr>
        <w:t>4</w:t>
      </w:r>
      <w:r>
        <w:rPr>
          <w:rFonts w:hint="default" w:ascii="Times New Roman" w:hAnsi="Times New Roman" w:cs="Times New Roman"/>
          <w:sz w:val="24"/>
          <w:highlight w:val="none"/>
        </w:rPr>
        <w:t>.付款时间为甲方向政府采购支付部门提出支付申请的时间（不含政府财政支付部门审查的时间），甲方向政府采购支付提出支付申请即视为甲方已履行付款义务。</w:t>
      </w:r>
    </w:p>
    <w:p w14:paraId="4B1C2D4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rPr>
        <w:t>.每次货款结算前，乙方需提供符合国家有关财税规定的等额发票。合同款包含项目实施过程的所有含税费用、首次计量或校准费用。</w:t>
      </w:r>
    </w:p>
    <w:p w14:paraId="590A70D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六、售后服务期及售后服务要求</w:t>
      </w:r>
    </w:p>
    <w:p w14:paraId="3F34C4F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1.本合同的售后服务期为</w:t>
      </w:r>
      <w:r>
        <w:rPr>
          <w:rFonts w:hint="default"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lang w:val="en-US" w:eastAsia="zh-CN"/>
        </w:rPr>
        <w:t>年</w:t>
      </w:r>
      <w:r>
        <w:rPr>
          <w:rFonts w:hint="default" w:ascii="Times New Roman" w:hAnsi="Times New Roman" w:cs="Times New Roman"/>
          <w:sz w:val="24"/>
          <w:highlight w:val="none"/>
        </w:rPr>
        <w:t>，自设备验收之日起算。售后服务期内乙方对所供货物实行包修、包换、包退、包维护保养等维修保养服务，期满后可同时提供终身有偿维修保养服务并提供主要维修配件价格做附件</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售后服务期内乙方对所供货物实行包修、包换、包退及合同约定的其他事项，售后服务期满后提供有偿终身维修保养服务，只收取零配件成本费，不收取任何工时费及技术人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highlight w:val="none"/>
          <w:lang w:eastAsia="zh-CN"/>
        </w:rPr>
        <w:t>员</w:t>
      </w:r>
      <w:r>
        <w:rPr>
          <w:rFonts w:hint="default" w:ascii="Times New Roman" w:hAnsi="Times New Roman" w:cs="Times New Roman"/>
          <w:sz w:val="24"/>
          <w:highlight w:val="none"/>
        </w:rPr>
        <w:t>差</w:t>
      </w:r>
      <w:r>
        <w:rPr>
          <w:rFonts w:hint="default" w:ascii="Times New Roman" w:hAnsi="Times New Roman" w:cs="Times New Roman"/>
          <w:sz w:val="24"/>
          <w:highlight w:val="none"/>
          <w:lang w:eastAsia="zh-CN"/>
        </w:rPr>
        <w:t>旅</w:t>
      </w:r>
      <w:r>
        <w:rPr>
          <w:rFonts w:hint="default" w:ascii="Times New Roman" w:hAnsi="Times New Roman" w:cs="Times New Roman"/>
          <w:sz w:val="24"/>
          <w:highlight w:val="none"/>
        </w:rPr>
        <w:t>费等其他费用。</w:t>
      </w:r>
    </w:p>
    <w:p w14:paraId="5CD94DC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2.售后服务期内，如设备或零部件因质量原因出现故障而造成短期停用时，则售后服务期和维修期相应顺延。如停用时间累计超过60天则售后服务期重新计算。</w:t>
      </w:r>
    </w:p>
    <w:p w14:paraId="7C85D09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sz w:val="24"/>
          <w:highlight w:val="none"/>
        </w:rPr>
        <w:t>3.</w:t>
      </w:r>
      <w:r>
        <w:rPr>
          <w:rFonts w:hint="default" w:ascii="Times New Roman" w:hAnsi="Times New Roman" w:cs="Times New Roman"/>
          <w:color w:val="000000" w:themeColor="text1"/>
          <w:sz w:val="24"/>
          <w:highlight w:val="none"/>
          <w14:textFill>
            <w14:solidFill>
              <w14:schemeClr w14:val="tx1"/>
            </w14:solidFill>
          </w14:textFill>
        </w:rPr>
        <w:t>对甲方的服务通知，</w:t>
      </w:r>
      <w:r>
        <w:rPr>
          <w:rFonts w:hint="default" w:ascii="Times New Roman" w:hAnsi="Times New Roman" w:cs="Times New Roman"/>
          <w:color w:val="000000" w:themeColor="text1"/>
          <w:sz w:val="24"/>
          <w:highlight w:val="none"/>
          <w:lang w:val="en-US" w:eastAsia="zh-CN"/>
          <w14:textFill>
            <w14:solidFill>
              <w14:schemeClr w14:val="tx1"/>
            </w14:solidFill>
          </w14:textFill>
        </w:rPr>
        <w:t>乙方1</w:t>
      </w:r>
      <w:r>
        <w:rPr>
          <w:rFonts w:hint="default" w:ascii="Times New Roman" w:hAnsi="Times New Roman" w:cs="Times New Roman"/>
          <w:color w:val="000000" w:themeColor="text1"/>
          <w:sz w:val="24"/>
          <w:highlight w:val="none"/>
          <w14:textFill>
            <w14:solidFill>
              <w14:schemeClr w14:val="tx1"/>
            </w14:solidFill>
          </w14:textFill>
        </w:rPr>
        <w:t>小时内电话响应并</w:t>
      </w:r>
      <w:r>
        <w:rPr>
          <w:rFonts w:hint="default" w:ascii="Times New Roman" w:hAnsi="Times New Roman" w:cs="Times New Roman"/>
          <w:color w:val="000000" w:themeColor="text1"/>
          <w:sz w:val="24"/>
          <w:highlight w:val="none"/>
          <w:lang w:eastAsia="zh-CN"/>
          <w14:textFill>
            <w14:solidFill>
              <w14:schemeClr w14:val="tx1"/>
            </w14:solidFill>
          </w14:textFill>
        </w:rPr>
        <w:t>远程指导（</w:t>
      </w:r>
      <w:r>
        <w:rPr>
          <w:rFonts w:hint="default" w:ascii="Times New Roman" w:hAnsi="Times New Roman" w:cs="Times New Roman"/>
          <w:color w:val="000000" w:themeColor="text1"/>
          <w:sz w:val="24"/>
          <w:highlight w:val="none"/>
          <w:lang w:val="en-US" w:eastAsia="zh-CN"/>
          <w14:textFill>
            <w14:solidFill>
              <w14:schemeClr w14:val="tx1"/>
            </w14:solidFill>
          </w14:textFill>
        </w:rPr>
        <w:t>电话或视频</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解决问题，如果无法</w:t>
      </w:r>
      <w:r>
        <w:rPr>
          <w:rFonts w:hint="default" w:ascii="Times New Roman" w:hAnsi="Times New Roman" w:cs="Times New Roman"/>
          <w:color w:val="000000" w:themeColor="text1"/>
          <w:sz w:val="24"/>
          <w:highlight w:val="none"/>
          <w:lang w:eastAsia="zh-CN"/>
          <w14:textFill>
            <w14:solidFill>
              <w14:schemeClr w14:val="tx1"/>
            </w14:solidFill>
          </w14:textFill>
        </w:rPr>
        <w:t>远程指导</w:t>
      </w:r>
      <w:r>
        <w:rPr>
          <w:rFonts w:hint="default" w:ascii="Times New Roman" w:hAnsi="Times New Roman" w:cs="Times New Roman"/>
          <w:color w:val="000000" w:themeColor="text1"/>
          <w:sz w:val="24"/>
          <w:highlight w:val="none"/>
          <w14:textFill>
            <w14:solidFill>
              <w14:schemeClr w14:val="tx1"/>
            </w14:solidFill>
          </w14:textFill>
        </w:rPr>
        <w:t>解决问题，</w:t>
      </w:r>
      <w:r>
        <w:rPr>
          <w:rFonts w:hint="default" w:ascii="Times New Roman" w:hAnsi="Times New Roman" w:cs="Times New Roman"/>
          <w:color w:val="000000" w:themeColor="text1"/>
          <w:sz w:val="24"/>
          <w:highlight w:val="none"/>
          <w:lang w:eastAsia="zh-CN"/>
          <w14:textFill>
            <w14:solidFill>
              <w14:schemeClr w14:val="tx1"/>
            </w14:solidFill>
          </w14:textFill>
        </w:rPr>
        <w:t>需在</w:t>
      </w:r>
      <w:r>
        <w:rPr>
          <w:rFonts w:hint="default" w:ascii="Times New Roman" w:hAnsi="Times New Roman" w:cs="Times New Roman"/>
          <w:color w:val="000000" w:themeColor="text1"/>
          <w:sz w:val="24"/>
          <w:highlight w:val="none"/>
          <w14:textFill>
            <w14:solidFill>
              <w14:schemeClr w14:val="tx1"/>
            </w14:solidFill>
          </w14:textFill>
        </w:rPr>
        <w:t>4小时内抵达现场修复</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复杂故障</w:t>
      </w:r>
      <w:r>
        <w:rPr>
          <w:rFonts w:hint="default" w:ascii="Times New Roman" w:hAnsi="Times New Roman" w:cs="Times New Roman"/>
          <w:color w:val="000000" w:themeColor="text1"/>
          <w:sz w:val="24"/>
          <w:highlight w:val="none"/>
          <w:lang w:eastAsia="zh-CN"/>
          <w14:textFill>
            <w14:solidFill>
              <w14:schemeClr w14:val="tx1"/>
            </w14:solidFill>
          </w14:textFill>
        </w:rPr>
        <w:t>维修时间</w:t>
      </w:r>
      <w:r>
        <w:rPr>
          <w:rFonts w:hint="default" w:ascii="Times New Roman" w:hAnsi="Times New Roman" w:cs="Times New Roman"/>
          <w:color w:val="000000" w:themeColor="text1"/>
          <w:sz w:val="24"/>
          <w:highlight w:val="none"/>
          <w14:textFill>
            <w14:solidFill>
              <w14:schemeClr w14:val="tx1"/>
            </w14:solidFill>
          </w14:textFill>
        </w:rPr>
        <w:t>不超过48小时</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售后服务期和维修期相应顺延。</w:t>
      </w:r>
    </w:p>
    <w:p w14:paraId="49E0425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4.若乙方未按上述约定时间对甲方服务通知进行响应，甲方有权另行寻找其他机构进行维修保养，因此产生的费用及给甲方造成的损失均由乙方承担。</w:t>
      </w:r>
    </w:p>
    <w:p w14:paraId="45EE0DD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七、安装与调试</w:t>
      </w:r>
    </w:p>
    <w:p w14:paraId="3D897E5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1.乙方必须依照招标文件的要求和报价文件的承诺，将设备、系统安装并调试至正常运行的最佳状态。</w:t>
      </w:r>
    </w:p>
    <w:p w14:paraId="07615ED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highlight w:val="none"/>
          <w:u w:val="single"/>
          <w:lang w:val="en-US" w:eastAsia="zh-CN"/>
        </w:rPr>
        <w:t>3</w:t>
      </w:r>
      <w:r>
        <w:rPr>
          <w:rFonts w:hint="default" w:ascii="Times New Roman" w:hAnsi="Times New Roman" w:cs="Times New Roman"/>
          <w:sz w:val="24"/>
          <w:highlight w:val="none"/>
        </w:rPr>
        <w:t>次。</w:t>
      </w:r>
    </w:p>
    <w:p w14:paraId="56748F5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八、验收</w:t>
      </w:r>
    </w:p>
    <w:p w14:paraId="3507A969">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4DAFDE8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2.进口产品必须具备原产地证明和商检局的检验证明及合法进货渠道证明。</w:t>
      </w:r>
    </w:p>
    <w:p w14:paraId="20B01CC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3.货物为原厂商未启封全新包装，具出厂合格证，序列号、包装箱号与出厂批号一致，并可追索查阅。所有伴随设备的附件必须齐全。</w:t>
      </w:r>
    </w:p>
    <w:p w14:paraId="411ED6A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4.乙方应将关键主机设备的用户手册、保修手册、有关单证资料及配备件、随机工具等交付给甲方，使用操作及安全须知等重要资料应附有中文说明。</w:t>
      </w:r>
    </w:p>
    <w:p w14:paraId="449A429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5.甲方组成验收小组按国家有关规定和规范，对中标供应商投标文件内响应的技术参数进行验收，必要时邀请相关的专业人员或机构参与验收。因货物质量问题发生争议时，由本地质量技术监督部门鉴定。货物符合质量技术标准的，鉴定费由甲方承担；否则鉴定费由乙方承担。</w:t>
      </w:r>
    </w:p>
    <w:p w14:paraId="13BF20F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6.如合同设备属于国家强制计量或检定的设备，则验收前乙方须提供国家计量或检定机关所出具的合格证书，甲方可协助乙方联系有关部门进行检测，但相关检测费用由乙方承担。</w:t>
      </w:r>
    </w:p>
    <w:p w14:paraId="51409D1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九、违约责任与赔偿损失</w:t>
      </w:r>
    </w:p>
    <w:p w14:paraId="017C4ED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1.乙方交付的货物、提供的服务不符合本合同规定的，甲方有权拒收，并且乙方须向甲方支付本合同总价10%的违约金。</w:t>
      </w:r>
    </w:p>
    <w:p w14:paraId="5B4E4A5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1A891B8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3.甲方无正当理由拒收货物/接受服务，甲方向乙方偿付本合同总价的5%的违约金。甲方无正当理由逾期付款，则每日按本合同总价的3‰向乙方偿付违约金，累计不得超过未按期支付总金额的10%。</w:t>
      </w:r>
    </w:p>
    <w:p w14:paraId="384A9FF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4.对于因任何一方原因导致变更、中止或者终止政府采购合同的，违约方应当依照合同约定对守约方受到的损失予以赔偿或者补偿；</w:t>
      </w:r>
    </w:p>
    <w:p w14:paraId="1B5C069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5.乙方未按本合同的规定和</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服务承诺</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提供伴随服务/售后服务的，应按合同总价款的5%向甲方承担违约责任。</w:t>
      </w:r>
    </w:p>
    <w:p w14:paraId="1BBC0820">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1B8F46C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7.本合同履行过程中如乙方存在违约且造成甲方损失的行为，违约金和相应赔偿款项可优先从乙方缴纳的履约保证金中扣除，不足部分甲方有权向乙方追偿。甲方扣除部分违约金和相应赔偿款项的</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不代表甲方放弃与本合同有关的其他权利。</w:t>
      </w:r>
    </w:p>
    <w:p w14:paraId="50C4CA39">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8.其他违约责任按《中华人民共和国民法典》处理。</w:t>
      </w:r>
    </w:p>
    <w:p w14:paraId="22EE14E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十、争议的解决</w:t>
      </w:r>
    </w:p>
    <w:p w14:paraId="58E6094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合同执行过程中发生的任何争议，如双方不能通过友好协商解决，</w:t>
      </w:r>
      <w:r>
        <w:rPr>
          <w:rFonts w:hint="default" w:ascii="Times New Roman" w:hAnsi="Times New Roman" w:cs="Times New Roman"/>
          <w:color w:val="000000"/>
          <w:sz w:val="24"/>
          <w:highlight w:val="none"/>
        </w:rPr>
        <w:t>依法向</w:t>
      </w:r>
      <w:r>
        <w:rPr>
          <w:rFonts w:hint="default" w:ascii="Times New Roman" w:hAnsi="Times New Roman" w:cs="Times New Roman"/>
          <w:sz w:val="24"/>
          <w:highlight w:val="none"/>
        </w:rPr>
        <w:t>甲方所在地</w:t>
      </w:r>
      <w:r>
        <w:rPr>
          <w:rFonts w:hint="default" w:ascii="Times New Roman" w:hAnsi="Times New Roman" w:cs="Times New Roman"/>
          <w:sz w:val="22"/>
          <w:highlight w:val="none"/>
        </w:rPr>
        <w:t>人民法院提起诉讼</w:t>
      </w:r>
      <w:r>
        <w:rPr>
          <w:rFonts w:hint="default" w:ascii="Times New Roman" w:hAnsi="Times New Roman" w:cs="Times New Roman"/>
          <w:color w:val="000000"/>
          <w:sz w:val="24"/>
          <w:highlight w:val="none"/>
        </w:rPr>
        <w:t>。因解决争议所产生的诉讼费、律师费、保全费等费用由败诉方承担。</w:t>
      </w:r>
    </w:p>
    <w:p w14:paraId="61372F1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十一、不可抗力</w:t>
      </w:r>
    </w:p>
    <w:p w14:paraId="1399666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D79801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十二、税费</w:t>
      </w:r>
    </w:p>
    <w:p w14:paraId="71C8C94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1.在中国境内、外发生的与本合同执行有关的一切税费均由乙方负担。</w:t>
      </w:r>
    </w:p>
    <w:p w14:paraId="1344312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十三、</w:t>
      </w:r>
      <w:r>
        <w:rPr>
          <w:rFonts w:hint="default" w:ascii="Times New Roman" w:hAnsi="Times New Roman" w:cs="Times New Roman"/>
          <w:b/>
          <w:sz w:val="24"/>
          <w:highlight w:val="none"/>
          <w:lang w:eastAsia="zh-CN"/>
        </w:rPr>
        <w:t>其他</w:t>
      </w:r>
    </w:p>
    <w:p w14:paraId="3C94F109">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1.本合同所有附件、招标文件、投标文件、中标通知书均</w:t>
      </w:r>
      <w:r>
        <w:rPr>
          <w:rFonts w:hint="default" w:ascii="Times New Roman" w:hAnsi="Times New Roman" w:cs="Times New Roman"/>
          <w:sz w:val="24"/>
          <w:highlight w:val="none"/>
          <w:lang w:eastAsia="zh-CN"/>
        </w:rPr>
        <w:t>为本</w:t>
      </w:r>
      <w:r>
        <w:rPr>
          <w:rFonts w:hint="default" w:ascii="Times New Roman" w:hAnsi="Times New Roman" w:cs="Times New Roman"/>
          <w:sz w:val="24"/>
          <w:highlight w:val="none"/>
        </w:rPr>
        <w:t>合同的有效组成部分，与本合同具有同等法律效力。</w:t>
      </w:r>
    </w:p>
    <w:p w14:paraId="24A7275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2.在执行本合同的过程中，所有经双方签署确认的文件（包括但不限于会议纪要、补充协议、往来信函）即成为本合同的有效组成部分，与本合同具有同等法律效力。</w:t>
      </w:r>
    </w:p>
    <w:p w14:paraId="6631159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3.如一方地址、电话、传真号码有变更，应在变更当日内书面通知对方，否则，应承担相应责任。</w:t>
      </w:r>
    </w:p>
    <w:p w14:paraId="1A8461B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4.除甲方事先书面同意外，乙方不得部分或全部转让其应履行的合同项下的义务，否则乙方应承担由此给甲方造成的一切损失。</w:t>
      </w:r>
    </w:p>
    <w:p w14:paraId="763AD35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十四、合同生效</w:t>
      </w:r>
    </w:p>
    <w:p w14:paraId="0C30AFA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1.本合同在甲乙双方法定代表人或其授权代表签字盖章后生效。</w:t>
      </w:r>
    </w:p>
    <w:p w14:paraId="0F79006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highlight w:val="none"/>
        </w:rPr>
      </w:pPr>
      <w:r>
        <w:rPr>
          <w:rFonts w:hint="default" w:ascii="Times New Roman" w:hAnsi="Times New Roman" w:cs="Times New Roman"/>
          <w:sz w:val="24"/>
          <w:highlight w:val="none"/>
        </w:rPr>
        <w:t>2.合同一式6份，甲方执5份，乙方执1份</w:t>
      </w:r>
      <w:r>
        <w:rPr>
          <w:rFonts w:hint="default" w:ascii="Times New Roman" w:hAnsi="Times New Roman" w:cs="Times New Roman"/>
          <w:color w:val="000000"/>
          <w:sz w:val="24"/>
          <w:highlight w:val="none"/>
        </w:rPr>
        <w:t>，具有同等法律效力。</w:t>
      </w:r>
    </w:p>
    <w:p w14:paraId="56F1999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highlight w:val="none"/>
        </w:rPr>
      </w:pPr>
    </w:p>
    <w:p w14:paraId="3841961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（以下无正文）</w:t>
      </w:r>
    </w:p>
    <w:p w14:paraId="010786CF">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甲方（盖章）：</w:t>
      </w:r>
      <w:r>
        <w:rPr>
          <w:rFonts w:hint="default" w:ascii="Times New Roman" w:hAnsi="Times New Roman" w:cs="Times New Roman"/>
          <w:b/>
          <w:sz w:val="24"/>
          <w:highlight w:val="none"/>
          <w:lang w:eastAsia="zh-CN"/>
        </w:rPr>
        <w:t>广东省第一荣军优抚医院</w:t>
      </w:r>
      <w:r>
        <w:rPr>
          <w:rFonts w:hint="default" w:ascii="Times New Roman" w:hAnsi="Times New Roman" w:cs="Times New Roman"/>
          <w:b/>
          <w:sz w:val="24"/>
          <w:highlight w:val="none"/>
        </w:rPr>
        <w:t xml:space="preserve">  乙方（盖章）：</w:t>
      </w:r>
      <w:r>
        <w:rPr>
          <w:rFonts w:hint="default" w:ascii="Times New Roman" w:hAnsi="Times New Roman" w:cs="Times New Roman"/>
          <w:b/>
          <w:sz w:val="24"/>
          <w:highlight w:val="none"/>
          <w:lang w:val="en-US" w:eastAsia="zh-CN"/>
        </w:rPr>
        <w:t>XX公司</w:t>
      </w:r>
    </w:p>
    <w:p w14:paraId="5411C336">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b/>
          <w:sz w:val="24"/>
          <w:highlight w:val="none"/>
        </w:rPr>
      </w:pPr>
      <w:r>
        <w:rPr>
          <w:rFonts w:hint="default" w:ascii="Times New Roman" w:hAnsi="Times New Roman" w:cs="Times New Roman"/>
          <w:b/>
          <w:sz w:val="24"/>
          <w:highlight w:val="none"/>
        </w:rPr>
        <w:t xml:space="preserve">代表：                            </w:t>
      </w:r>
      <w:r>
        <w:rPr>
          <w:rFonts w:hint="default" w:ascii="Times New Roman" w:hAnsi="Times New Roman" w:cs="Times New Roman"/>
          <w:b/>
          <w:sz w:val="24"/>
          <w:highlight w:val="none"/>
          <w:lang w:val="en-US" w:eastAsia="zh-CN"/>
        </w:rPr>
        <w:t xml:space="preserve">    </w:t>
      </w:r>
      <w:r>
        <w:rPr>
          <w:rFonts w:hint="default" w:ascii="Times New Roman" w:hAnsi="Times New Roman" w:cs="Times New Roman"/>
          <w:b/>
          <w:sz w:val="24"/>
          <w:highlight w:val="none"/>
        </w:rPr>
        <w:t>代表：</w:t>
      </w:r>
    </w:p>
    <w:p w14:paraId="32A23157">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1FFBA2E5">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2F8D2F2A">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签订日期：</w:t>
      </w:r>
      <w:r>
        <w:rPr>
          <w:rFonts w:hint="eastAsia" w:ascii="Times New Roman" w:hAnsi="Times New Roman" w:cs="Times New Roman"/>
          <w:b/>
          <w:sz w:val="24"/>
          <w:highlight w:val="none"/>
          <w:lang w:val="en-US" w:eastAsia="zh-CN"/>
        </w:rPr>
        <w:t>2026</w:t>
      </w:r>
      <w:r>
        <w:rPr>
          <w:rFonts w:hint="default" w:ascii="Times New Roman" w:hAnsi="Times New Roman" w:cs="Times New Roman"/>
          <w:b/>
          <w:sz w:val="24"/>
          <w:highlight w:val="none"/>
        </w:rPr>
        <w:t xml:space="preserve">年　　月　　日    </w:t>
      </w:r>
      <w:r>
        <w:rPr>
          <w:rFonts w:hint="default" w:ascii="Times New Roman" w:hAnsi="Times New Roman" w:cs="Times New Roman"/>
          <w:b/>
          <w:sz w:val="24"/>
          <w:highlight w:val="none"/>
          <w:lang w:val="en-US" w:eastAsia="zh-CN"/>
        </w:rPr>
        <w:t xml:space="preserve">   </w:t>
      </w:r>
      <w:r>
        <w:rPr>
          <w:rFonts w:hint="eastAsia" w:ascii="Times New Roman" w:hAnsi="Times New Roman" w:cs="Times New Roman"/>
          <w:b/>
          <w:sz w:val="24"/>
          <w:highlight w:val="none"/>
          <w:lang w:val="en-US" w:eastAsia="zh-CN"/>
        </w:rPr>
        <w:t xml:space="preserve"> </w:t>
      </w:r>
      <w:r>
        <w:rPr>
          <w:rFonts w:hint="default" w:ascii="Times New Roman" w:hAnsi="Times New Roman" w:cs="Times New Roman"/>
          <w:b/>
          <w:sz w:val="24"/>
          <w:highlight w:val="none"/>
        </w:rPr>
        <w:t>签订日期：</w:t>
      </w:r>
      <w:r>
        <w:rPr>
          <w:rFonts w:hint="eastAsia" w:ascii="Times New Roman" w:hAnsi="Times New Roman" w:cs="Times New Roman"/>
          <w:b/>
          <w:sz w:val="24"/>
          <w:highlight w:val="none"/>
          <w:lang w:val="en-US" w:eastAsia="zh-CN"/>
        </w:rPr>
        <w:t>2026</w:t>
      </w:r>
      <w:r>
        <w:rPr>
          <w:rFonts w:hint="default" w:ascii="Times New Roman" w:hAnsi="Times New Roman" w:cs="Times New Roman"/>
          <w:b/>
          <w:sz w:val="24"/>
          <w:highlight w:val="none"/>
        </w:rPr>
        <w:t>年　　月　　日</w:t>
      </w:r>
    </w:p>
    <w:p w14:paraId="163330EE">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highlight w:val="none"/>
        </w:rPr>
      </w:pPr>
      <w:r>
        <w:rPr>
          <w:rFonts w:hint="default" w:ascii="Times New Roman" w:hAnsi="Times New Roman" w:eastAsia="宋体" w:cs="Times New Roman"/>
          <w:b/>
          <w:sz w:val="21"/>
          <w:szCs w:val="21"/>
          <w:highlight w:val="none"/>
        </w:rPr>
        <w:t>收取履约保证金方与甲方一致，专户为：</w:t>
      </w:r>
      <w:r>
        <w:rPr>
          <w:rFonts w:hint="default" w:ascii="Times New Roman" w:hAnsi="Times New Roman" w:cs="Times New Roman"/>
          <w:b/>
          <w:sz w:val="21"/>
          <w:szCs w:val="21"/>
          <w:highlight w:val="none"/>
        </w:rPr>
        <w:t xml:space="preserve">  </w:t>
      </w:r>
      <w:r>
        <w:rPr>
          <w:rFonts w:hint="default" w:ascii="Times New Roman" w:hAnsi="Times New Roman" w:cs="Times New Roman"/>
          <w:b/>
          <w:sz w:val="21"/>
          <w:szCs w:val="21"/>
          <w:highlight w:val="none"/>
          <w:lang w:val="en-US" w:eastAsia="zh-CN"/>
        </w:rPr>
        <w:t xml:space="preserve">    </w:t>
      </w:r>
      <w:r>
        <w:rPr>
          <w:rFonts w:hint="default" w:ascii="Times New Roman" w:hAnsi="Times New Roman" w:eastAsia="宋体" w:cs="Times New Roman"/>
          <w:b/>
          <w:sz w:val="21"/>
          <w:szCs w:val="21"/>
          <w:highlight w:val="none"/>
        </w:rPr>
        <w:t>收款方、开票方须与乙方一致，专户为：</w:t>
      </w:r>
    </w:p>
    <w:p w14:paraId="071B299B">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b/>
          <w:sz w:val="24"/>
          <w:szCs w:val="24"/>
          <w:highlight w:val="none"/>
        </w:rPr>
        <w:t>开户名称：广东省第一荣军优抚医院</w:t>
      </w:r>
      <w:r>
        <w:rPr>
          <w:rFonts w:hint="default" w:ascii="Times New Roman" w:hAnsi="Times New Roman" w:cs="Times New Roman"/>
          <w:b/>
          <w:sz w:val="21"/>
          <w:highlight w:val="none"/>
        </w:rPr>
        <w:t xml:space="preserve">    </w:t>
      </w:r>
      <w:r>
        <w:rPr>
          <w:rFonts w:hint="default" w:ascii="Times New Roman" w:hAnsi="Times New Roman" w:cs="Times New Roman"/>
          <w:b/>
          <w:sz w:val="21"/>
          <w:highlight w:val="none"/>
          <w:lang w:val="en-US" w:eastAsia="zh-CN"/>
        </w:rPr>
        <w:t xml:space="preserve">  </w:t>
      </w:r>
      <w:r>
        <w:rPr>
          <w:rFonts w:hint="default" w:ascii="Times New Roman" w:hAnsi="Times New Roman" w:eastAsia="宋体" w:cs="Times New Roman"/>
          <w:b/>
          <w:sz w:val="24"/>
          <w:szCs w:val="24"/>
          <w:highlight w:val="none"/>
        </w:rPr>
        <w:t>开户名称：</w:t>
      </w:r>
    </w:p>
    <w:p w14:paraId="4CF813F1">
      <w:pPr>
        <w:pStyle w:val="9"/>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银行账号：3602000309000415320</w:t>
      </w:r>
      <w:r>
        <w:rPr>
          <w:rFonts w:hint="default" w:ascii="Times New Roman" w:hAnsi="Times New Roman" w:cs="Times New Roman"/>
          <w:b/>
          <w:sz w:val="21"/>
          <w:highlight w:val="none"/>
        </w:rPr>
        <w:t xml:space="preserve">       </w:t>
      </w:r>
      <w:r>
        <w:rPr>
          <w:rFonts w:hint="default" w:ascii="Times New Roman" w:hAnsi="Times New Roman" w:cs="Times New Roman"/>
          <w:b/>
          <w:sz w:val="21"/>
          <w:highlight w:val="none"/>
          <w:lang w:val="en-US" w:eastAsia="zh-CN"/>
        </w:rPr>
        <w:t xml:space="preserve">  </w:t>
      </w:r>
      <w:r>
        <w:rPr>
          <w:rFonts w:hint="default" w:ascii="Times New Roman" w:hAnsi="Times New Roman" w:eastAsia="宋体" w:cs="Times New Roman"/>
          <w:b/>
          <w:sz w:val="24"/>
          <w:szCs w:val="24"/>
          <w:highlight w:val="none"/>
        </w:rPr>
        <w:t>银行账号：</w:t>
      </w:r>
    </w:p>
    <w:p w14:paraId="09087175">
      <w:pPr>
        <w:pStyle w:val="9"/>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highlight w:val="none"/>
        </w:rPr>
      </w:pPr>
      <w:r>
        <w:rPr>
          <w:rFonts w:hint="default" w:ascii="Times New Roman" w:hAnsi="Times New Roman" w:eastAsia="宋体" w:cs="Times New Roman"/>
          <w:b/>
          <w:sz w:val="24"/>
          <w:szCs w:val="24"/>
          <w:highlight w:val="none"/>
        </w:rPr>
        <w:t>开 户 行：工商银行广州怡乐支行</w:t>
      </w:r>
      <w:r>
        <w:rPr>
          <w:rFonts w:hint="default" w:ascii="Times New Roman" w:hAnsi="Times New Roman" w:cs="Times New Roman"/>
          <w:b/>
          <w:sz w:val="21"/>
          <w:highlight w:val="none"/>
        </w:rPr>
        <w:t xml:space="preserve">      </w:t>
      </w:r>
      <w:r>
        <w:rPr>
          <w:rFonts w:hint="default" w:ascii="Times New Roman" w:hAnsi="Times New Roman" w:cs="Times New Roman"/>
          <w:b/>
          <w:sz w:val="21"/>
          <w:highlight w:val="none"/>
          <w:lang w:val="en-US" w:eastAsia="zh-CN"/>
        </w:rPr>
        <w:t xml:space="preserve">  </w:t>
      </w:r>
      <w:r>
        <w:rPr>
          <w:rFonts w:hint="default" w:ascii="Times New Roman" w:hAnsi="Times New Roman" w:eastAsia="宋体" w:cs="Times New Roman"/>
          <w:b/>
          <w:sz w:val="24"/>
          <w:szCs w:val="24"/>
          <w:highlight w:val="none"/>
        </w:rPr>
        <w:t>开户行：</w:t>
      </w:r>
    </w:p>
    <w:p w14:paraId="0ADA5D95">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sz w:val="24"/>
          <w:highlight w:val="none"/>
        </w:rPr>
        <w:t>签订地点：</w:t>
      </w:r>
      <w:r>
        <w:rPr>
          <w:rFonts w:hint="default" w:ascii="Times New Roman" w:hAnsi="Times New Roman" w:cs="Times New Roman"/>
          <w:sz w:val="24"/>
          <w:highlight w:val="none"/>
          <w:lang w:val="en-US" w:eastAsia="zh-CN"/>
        </w:rPr>
        <w:t>广州</w:t>
      </w:r>
    </w:p>
    <w:p w14:paraId="0ACA276B">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highlight w:val="none"/>
        </w:rPr>
      </w:pPr>
      <w:r>
        <w:rPr>
          <w:rFonts w:hint="default" w:ascii="Times New Roman" w:hAnsi="Times New Roman" w:cs="Times New Roman" w:eastAsiaTheme="minorEastAsia"/>
          <w:sz w:val="32"/>
          <w:szCs w:val="24"/>
          <w:highlight w:val="none"/>
        </w:rPr>
        <w:br w:type="page"/>
      </w:r>
    </w:p>
    <w:p w14:paraId="42F6A824">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highlight w:val="none"/>
          <w:lang w:val="en-US" w:eastAsia="zh-CN"/>
        </w:rPr>
      </w:pPr>
      <w:r>
        <w:rPr>
          <w:rFonts w:hint="default" w:ascii="Times New Roman" w:hAnsi="Times New Roman" w:cs="Times New Roman" w:eastAsiaTheme="minorEastAsia"/>
          <w:b/>
          <w:bCs/>
          <w:color w:val="auto"/>
          <w:sz w:val="32"/>
          <w:szCs w:val="32"/>
          <w:highlight w:val="none"/>
          <w:lang w:val="en-US" w:eastAsia="zh-CN"/>
        </w:rPr>
        <w:t>附件：</w:t>
      </w:r>
    </w:p>
    <w:p w14:paraId="6527C08B">
      <w:pPr>
        <w:pStyle w:val="2"/>
        <w:ind w:firstLine="640" w:firstLineChars="200"/>
        <w:rPr>
          <w:rFonts w:hint="default" w:ascii="Times New Roman" w:hAnsi="Times New Roman" w:eastAsia="楷体" w:cs="Times New Roman"/>
          <w:b w:val="0"/>
          <w:bCs w:val="0"/>
          <w:kern w:val="0"/>
          <w:sz w:val="32"/>
          <w:szCs w:val="32"/>
          <w:highlight w:val="none"/>
          <w:lang w:val="en-US" w:eastAsia="zh-CN" w:bidi="ar-SA"/>
        </w:rPr>
      </w:pPr>
      <w:r>
        <w:rPr>
          <w:rFonts w:hint="eastAsia" w:ascii="Times New Roman" w:hAnsi="Times New Roman" w:eastAsia="楷体" w:cs="Times New Roman"/>
          <w:b w:val="0"/>
          <w:bCs w:val="0"/>
          <w:kern w:val="0"/>
          <w:sz w:val="32"/>
          <w:szCs w:val="32"/>
          <w:highlight w:val="none"/>
          <w:lang w:val="en-US" w:eastAsia="zh-CN" w:bidi="ar-SA"/>
        </w:rPr>
        <w:t>1.</w:t>
      </w:r>
      <w:r>
        <w:rPr>
          <w:rFonts w:hint="default" w:ascii="Times New Roman" w:hAnsi="Times New Roman" w:eastAsia="楷体" w:cs="Times New Roman"/>
          <w:b w:val="0"/>
          <w:bCs w:val="0"/>
          <w:kern w:val="0"/>
          <w:sz w:val="32"/>
          <w:szCs w:val="32"/>
          <w:highlight w:val="none"/>
          <w:lang w:val="en-US" w:eastAsia="zh-CN" w:bidi="ar-SA"/>
        </w:rPr>
        <w:t>气囊式体外反搏设备（便携式）单台配置清单</w:t>
      </w:r>
    </w:p>
    <w:tbl>
      <w:tblPr>
        <w:tblStyle w:val="10"/>
        <w:tblW w:w="86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4"/>
        <w:gridCol w:w="6574"/>
        <w:gridCol w:w="1110"/>
      </w:tblGrid>
      <w:tr w14:paraId="2D6C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jc w:val="center"/>
        </w:trPr>
        <w:tc>
          <w:tcPr>
            <w:tcW w:w="984" w:type="dxa"/>
            <w:tcBorders>
              <w:top w:val="single" w:color="000000" w:sz="2" w:space="0"/>
              <w:bottom w:val="single" w:color="000000" w:sz="2" w:space="0"/>
            </w:tcBorders>
            <w:shd w:val="clear" w:color="auto" w:fill="auto"/>
            <w:vAlign w:val="center"/>
          </w:tcPr>
          <w:p w14:paraId="423166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6574" w:type="dxa"/>
            <w:tcBorders>
              <w:top w:val="single" w:color="000000" w:sz="2" w:space="0"/>
              <w:bottom w:val="single" w:color="000000" w:sz="2" w:space="0"/>
            </w:tcBorders>
            <w:shd w:val="clear" w:color="auto" w:fill="auto"/>
            <w:vAlign w:val="center"/>
          </w:tcPr>
          <w:p w14:paraId="24C3AF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名称</w:t>
            </w:r>
          </w:p>
        </w:tc>
        <w:tc>
          <w:tcPr>
            <w:tcW w:w="1110" w:type="dxa"/>
            <w:tcBorders>
              <w:top w:val="single" w:color="000000" w:sz="2" w:space="0"/>
              <w:bottom w:val="single" w:color="000000" w:sz="2" w:space="0"/>
            </w:tcBorders>
            <w:shd w:val="clear" w:color="auto" w:fill="auto"/>
            <w:vAlign w:val="center"/>
          </w:tcPr>
          <w:p w14:paraId="03C7D4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数量</w:t>
            </w:r>
          </w:p>
        </w:tc>
      </w:tr>
      <w:tr w14:paraId="07558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984" w:type="dxa"/>
            <w:tcBorders>
              <w:top w:val="single" w:color="000000" w:sz="2" w:space="0"/>
              <w:bottom w:val="single" w:color="000000" w:sz="2" w:space="0"/>
            </w:tcBorders>
            <w:vAlign w:val="center"/>
          </w:tcPr>
          <w:p w14:paraId="6BEE24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6574" w:type="dxa"/>
            <w:tcBorders>
              <w:top w:val="single" w:color="000000" w:sz="2" w:space="0"/>
              <w:bottom w:val="single" w:color="000000" w:sz="2" w:space="0"/>
            </w:tcBorders>
            <w:vAlign w:val="center"/>
          </w:tcPr>
          <w:p w14:paraId="492E16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主机（便携式）</w:t>
            </w:r>
          </w:p>
        </w:tc>
        <w:tc>
          <w:tcPr>
            <w:tcW w:w="1110" w:type="dxa"/>
            <w:tcBorders>
              <w:top w:val="single" w:color="000000" w:sz="2" w:space="0"/>
              <w:bottom w:val="single" w:color="000000" w:sz="2" w:space="0"/>
            </w:tcBorders>
            <w:vAlign w:val="center"/>
          </w:tcPr>
          <w:p w14:paraId="7B4D70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1台</w:t>
            </w:r>
          </w:p>
        </w:tc>
      </w:tr>
      <w:tr w14:paraId="3910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984" w:type="dxa"/>
            <w:tcBorders>
              <w:top w:val="single" w:color="000000" w:sz="2" w:space="0"/>
              <w:bottom w:val="single" w:color="000000" w:sz="2" w:space="0"/>
            </w:tcBorders>
            <w:vAlign w:val="center"/>
          </w:tcPr>
          <w:p w14:paraId="313AF1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6574" w:type="dxa"/>
            <w:tcBorders>
              <w:top w:val="single" w:color="000000" w:sz="2" w:space="0"/>
              <w:bottom w:val="single" w:color="000000" w:sz="2" w:space="0"/>
            </w:tcBorders>
            <w:vAlign w:val="center"/>
          </w:tcPr>
          <w:p w14:paraId="4E9358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控制系统（含心电模块、血氧模块、血压模块）</w:t>
            </w:r>
          </w:p>
        </w:tc>
        <w:tc>
          <w:tcPr>
            <w:tcW w:w="1110" w:type="dxa"/>
            <w:tcBorders>
              <w:top w:val="single" w:color="000000" w:sz="2" w:space="0"/>
              <w:bottom w:val="single" w:color="000000" w:sz="2" w:space="0"/>
            </w:tcBorders>
            <w:vAlign w:val="center"/>
          </w:tcPr>
          <w:p w14:paraId="52DA1D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1台</w:t>
            </w:r>
          </w:p>
        </w:tc>
      </w:tr>
      <w:tr w14:paraId="3FF3C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984" w:type="dxa"/>
            <w:tcBorders>
              <w:top w:val="single" w:color="000000" w:sz="2" w:space="0"/>
              <w:bottom w:val="single" w:color="000000" w:sz="2" w:space="0"/>
            </w:tcBorders>
            <w:vAlign w:val="center"/>
          </w:tcPr>
          <w:p w14:paraId="0BA16B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6574" w:type="dxa"/>
            <w:tcBorders>
              <w:top w:val="single" w:color="000000" w:sz="2" w:space="0"/>
              <w:bottom w:val="single" w:color="000000" w:sz="2" w:space="0"/>
            </w:tcBorders>
            <w:vAlign w:val="center"/>
          </w:tcPr>
          <w:p w14:paraId="28E88F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心电导联线</w:t>
            </w:r>
          </w:p>
        </w:tc>
        <w:tc>
          <w:tcPr>
            <w:tcW w:w="1110" w:type="dxa"/>
            <w:tcBorders>
              <w:top w:val="single" w:color="000000" w:sz="2" w:space="0"/>
              <w:bottom w:val="single" w:color="000000" w:sz="2" w:space="0"/>
            </w:tcBorders>
            <w:vAlign w:val="center"/>
          </w:tcPr>
          <w:p w14:paraId="2CB3BB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1条</w:t>
            </w:r>
          </w:p>
        </w:tc>
      </w:tr>
      <w:tr w14:paraId="5F433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984" w:type="dxa"/>
            <w:tcBorders>
              <w:top w:val="single" w:color="000000" w:sz="2" w:space="0"/>
              <w:bottom w:val="single" w:color="000000" w:sz="2" w:space="0"/>
            </w:tcBorders>
            <w:vAlign w:val="center"/>
          </w:tcPr>
          <w:p w14:paraId="7CB388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6574" w:type="dxa"/>
            <w:tcBorders>
              <w:top w:val="single" w:color="000000" w:sz="2" w:space="0"/>
              <w:bottom w:val="single" w:color="000000" w:sz="2" w:space="0"/>
            </w:tcBorders>
            <w:vAlign w:val="center"/>
          </w:tcPr>
          <w:p w14:paraId="549498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血氧探头</w:t>
            </w:r>
          </w:p>
        </w:tc>
        <w:tc>
          <w:tcPr>
            <w:tcW w:w="1110" w:type="dxa"/>
            <w:tcBorders>
              <w:top w:val="single" w:color="000000" w:sz="2" w:space="0"/>
              <w:bottom w:val="single" w:color="000000" w:sz="2" w:space="0"/>
            </w:tcBorders>
            <w:vAlign w:val="center"/>
          </w:tcPr>
          <w:p w14:paraId="755523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1条</w:t>
            </w:r>
          </w:p>
        </w:tc>
      </w:tr>
      <w:tr w14:paraId="2D29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984" w:type="dxa"/>
            <w:tcBorders>
              <w:top w:val="single" w:color="000000" w:sz="2" w:space="0"/>
              <w:bottom w:val="single" w:color="000000" w:sz="2" w:space="0"/>
            </w:tcBorders>
            <w:vAlign w:val="center"/>
          </w:tcPr>
          <w:p w14:paraId="769EF1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6574" w:type="dxa"/>
            <w:tcBorders>
              <w:top w:val="single" w:color="000000" w:sz="2" w:space="0"/>
              <w:bottom w:val="single" w:color="000000" w:sz="2" w:space="0"/>
            </w:tcBorders>
            <w:vAlign w:val="center"/>
          </w:tcPr>
          <w:p w14:paraId="223696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外囊</w:t>
            </w:r>
          </w:p>
        </w:tc>
        <w:tc>
          <w:tcPr>
            <w:tcW w:w="1110" w:type="dxa"/>
            <w:tcBorders>
              <w:top w:val="single" w:color="000000" w:sz="2" w:space="0"/>
              <w:bottom w:val="single" w:color="000000" w:sz="2" w:space="0"/>
            </w:tcBorders>
            <w:vAlign w:val="center"/>
          </w:tcPr>
          <w:p w14:paraId="08C350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2套</w:t>
            </w:r>
          </w:p>
        </w:tc>
      </w:tr>
      <w:tr w14:paraId="28CD0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984" w:type="dxa"/>
            <w:tcBorders>
              <w:top w:val="single" w:color="000000" w:sz="2" w:space="0"/>
              <w:bottom w:val="single" w:color="000000" w:sz="2" w:space="0"/>
            </w:tcBorders>
            <w:vAlign w:val="center"/>
          </w:tcPr>
          <w:p w14:paraId="750BC6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6574" w:type="dxa"/>
            <w:tcBorders>
              <w:top w:val="single" w:color="000000" w:sz="2" w:space="0"/>
              <w:bottom w:val="single" w:color="000000" w:sz="2" w:space="0"/>
            </w:tcBorders>
            <w:vAlign w:val="center"/>
          </w:tcPr>
          <w:p w14:paraId="312188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内囊</w:t>
            </w:r>
          </w:p>
        </w:tc>
        <w:tc>
          <w:tcPr>
            <w:tcW w:w="1110" w:type="dxa"/>
            <w:tcBorders>
              <w:top w:val="single" w:color="000000" w:sz="2" w:space="0"/>
              <w:bottom w:val="single" w:color="000000" w:sz="2" w:space="0"/>
            </w:tcBorders>
            <w:vAlign w:val="center"/>
          </w:tcPr>
          <w:p w14:paraId="303DEE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2套</w:t>
            </w:r>
          </w:p>
        </w:tc>
      </w:tr>
      <w:tr w14:paraId="3F94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984" w:type="dxa"/>
            <w:tcBorders>
              <w:top w:val="single" w:color="000000" w:sz="2" w:space="0"/>
              <w:bottom w:val="single" w:color="000000" w:sz="2" w:space="0"/>
            </w:tcBorders>
            <w:vAlign w:val="center"/>
          </w:tcPr>
          <w:p w14:paraId="12BCA3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6574" w:type="dxa"/>
            <w:tcBorders>
              <w:top w:val="single" w:color="000000" w:sz="2" w:space="0"/>
              <w:bottom w:val="single" w:color="000000" w:sz="2" w:space="0"/>
            </w:tcBorders>
            <w:vAlign w:val="center"/>
          </w:tcPr>
          <w:p w14:paraId="56807A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囊套连接管 ( PU管)</w:t>
            </w:r>
          </w:p>
        </w:tc>
        <w:tc>
          <w:tcPr>
            <w:tcW w:w="1110" w:type="dxa"/>
            <w:tcBorders>
              <w:top w:val="single" w:color="000000" w:sz="2" w:space="0"/>
              <w:bottom w:val="single" w:color="000000" w:sz="2" w:space="0"/>
            </w:tcBorders>
            <w:vAlign w:val="center"/>
          </w:tcPr>
          <w:p w14:paraId="1F4B08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1套</w:t>
            </w:r>
          </w:p>
        </w:tc>
      </w:tr>
    </w:tbl>
    <w:p w14:paraId="288C2E73">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highlight w:val="none"/>
          <w:lang w:val="en-US" w:eastAsia="zh-CN"/>
        </w:rPr>
      </w:pPr>
    </w:p>
    <w:p w14:paraId="263D7E79">
      <w:pPr>
        <w:keepNext w:val="0"/>
        <w:keepLines w:val="0"/>
        <w:pageBreakBefore w:val="0"/>
        <w:kinsoku/>
        <w:wordWrap/>
        <w:overflowPunct/>
        <w:topLinePunct w:val="0"/>
        <w:bidi w:val="0"/>
        <w:adjustRightInd w:val="0"/>
        <w:snapToGrid/>
        <w:spacing w:line="576"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楷体" w:cs="Times New Roman"/>
          <w:b w:val="0"/>
          <w:bCs w:val="0"/>
          <w:kern w:val="0"/>
          <w:sz w:val="32"/>
          <w:szCs w:val="32"/>
          <w:highlight w:val="none"/>
          <w:lang w:val="en-US" w:eastAsia="zh-CN" w:bidi="ar-SA"/>
        </w:rPr>
        <w:t>2.气囊式体外反搏设备（一体式）</w:t>
      </w:r>
      <w:r>
        <w:rPr>
          <w:rFonts w:hint="default" w:ascii="Times New Roman" w:hAnsi="Times New Roman" w:eastAsia="楷体" w:cs="Times New Roman"/>
          <w:b w:val="0"/>
          <w:bCs w:val="0"/>
          <w:kern w:val="0"/>
          <w:sz w:val="32"/>
          <w:szCs w:val="32"/>
          <w:highlight w:val="none"/>
          <w:lang w:val="en-US" w:eastAsia="zh-CN" w:bidi="ar-SA"/>
        </w:rPr>
        <w:t>单台配置清单</w:t>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8"/>
        <w:gridCol w:w="6481"/>
        <w:gridCol w:w="1013"/>
      </w:tblGrid>
      <w:tr w14:paraId="78CD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028" w:type="dxa"/>
            <w:tcBorders>
              <w:top w:val="single" w:color="000000" w:sz="4" w:space="0"/>
              <w:left w:val="single" w:color="000000" w:sz="4" w:space="0"/>
              <w:bottom w:val="single" w:color="000000" w:sz="4" w:space="0"/>
              <w:right w:val="single" w:color="000000" w:sz="4" w:space="0"/>
            </w:tcBorders>
            <w:vAlign w:val="center"/>
          </w:tcPr>
          <w:p w14:paraId="022324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6481" w:type="dxa"/>
            <w:tcBorders>
              <w:top w:val="single" w:color="000000" w:sz="4" w:space="0"/>
              <w:left w:val="single" w:color="000000" w:sz="4" w:space="0"/>
              <w:bottom w:val="single" w:color="000000" w:sz="4" w:space="0"/>
              <w:right w:val="single" w:color="000000" w:sz="4" w:space="0"/>
            </w:tcBorders>
            <w:vAlign w:val="center"/>
          </w:tcPr>
          <w:p w14:paraId="4023C1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名称</w:t>
            </w:r>
          </w:p>
        </w:tc>
        <w:tc>
          <w:tcPr>
            <w:tcW w:w="1013" w:type="dxa"/>
            <w:tcBorders>
              <w:top w:val="single" w:color="000000" w:sz="4" w:space="0"/>
              <w:left w:val="single" w:color="000000" w:sz="4" w:space="0"/>
              <w:bottom w:val="single" w:color="000000" w:sz="4" w:space="0"/>
              <w:right w:val="single" w:color="000000" w:sz="4" w:space="0"/>
            </w:tcBorders>
            <w:vAlign w:val="center"/>
          </w:tcPr>
          <w:p w14:paraId="50800D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数量</w:t>
            </w:r>
          </w:p>
        </w:tc>
      </w:tr>
      <w:tr w14:paraId="024F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028" w:type="dxa"/>
            <w:tcBorders>
              <w:top w:val="single" w:color="000000" w:sz="4" w:space="0"/>
              <w:left w:val="single" w:color="000000" w:sz="4" w:space="0"/>
              <w:bottom w:val="single" w:color="000000" w:sz="4" w:space="0"/>
              <w:right w:val="single" w:color="000000" w:sz="4" w:space="0"/>
            </w:tcBorders>
            <w:vAlign w:val="center"/>
          </w:tcPr>
          <w:p w14:paraId="5ADEB39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6481" w:type="dxa"/>
            <w:tcBorders>
              <w:top w:val="single" w:color="000000" w:sz="4" w:space="0"/>
              <w:left w:val="single" w:color="000000" w:sz="4" w:space="0"/>
              <w:bottom w:val="single" w:color="000000" w:sz="4" w:space="0"/>
              <w:right w:val="single" w:color="000000" w:sz="4" w:space="0"/>
            </w:tcBorders>
            <w:vAlign w:val="center"/>
          </w:tcPr>
          <w:p w14:paraId="06B0D7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床体</w:t>
            </w:r>
          </w:p>
        </w:tc>
        <w:tc>
          <w:tcPr>
            <w:tcW w:w="1013" w:type="dxa"/>
            <w:tcBorders>
              <w:top w:val="single" w:color="000000" w:sz="4" w:space="0"/>
              <w:left w:val="single" w:color="000000" w:sz="4" w:space="0"/>
              <w:bottom w:val="single" w:color="000000" w:sz="4" w:space="0"/>
              <w:right w:val="single" w:color="000000" w:sz="4" w:space="0"/>
            </w:tcBorders>
            <w:vAlign w:val="center"/>
          </w:tcPr>
          <w:p w14:paraId="02E18DB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1台</w:t>
            </w:r>
          </w:p>
        </w:tc>
      </w:tr>
      <w:tr w14:paraId="1A16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8" w:type="dxa"/>
            <w:tcBorders>
              <w:top w:val="single" w:color="000000" w:sz="4" w:space="0"/>
              <w:left w:val="single" w:color="000000" w:sz="4" w:space="0"/>
              <w:bottom w:val="single" w:color="000000" w:sz="4" w:space="0"/>
              <w:right w:val="single" w:color="000000" w:sz="4" w:space="0"/>
            </w:tcBorders>
            <w:vAlign w:val="center"/>
          </w:tcPr>
          <w:p w14:paraId="18C2B97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6481" w:type="dxa"/>
            <w:tcBorders>
              <w:top w:val="single" w:color="000000" w:sz="4" w:space="0"/>
              <w:left w:val="single" w:color="000000" w:sz="4" w:space="0"/>
              <w:bottom w:val="single" w:color="000000" w:sz="4" w:space="0"/>
              <w:right w:val="single" w:color="000000" w:sz="4" w:space="0"/>
            </w:tcBorders>
            <w:vAlign w:val="center"/>
          </w:tcPr>
          <w:p w14:paraId="1C95F42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床体扶手</w:t>
            </w:r>
          </w:p>
        </w:tc>
        <w:tc>
          <w:tcPr>
            <w:tcW w:w="1013" w:type="dxa"/>
            <w:tcBorders>
              <w:top w:val="single" w:color="000000" w:sz="4" w:space="0"/>
              <w:left w:val="single" w:color="000000" w:sz="4" w:space="0"/>
              <w:bottom w:val="single" w:color="000000" w:sz="4" w:space="0"/>
              <w:right w:val="single" w:color="000000" w:sz="4" w:space="0"/>
            </w:tcBorders>
            <w:vAlign w:val="center"/>
          </w:tcPr>
          <w:p w14:paraId="4D745E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1套</w:t>
            </w:r>
          </w:p>
        </w:tc>
      </w:tr>
      <w:tr w14:paraId="50F8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8" w:type="dxa"/>
            <w:tcBorders>
              <w:top w:val="single" w:color="000000" w:sz="4" w:space="0"/>
              <w:left w:val="single" w:color="000000" w:sz="4" w:space="0"/>
              <w:bottom w:val="single" w:color="000000" w:sz="4" w:space="0"/>
              <w:right w:val="single" w:color="000000" w:sz="4" w:space="0"/>
            </w:tcBorders>
            <w:vAlign w:val="center"/>
          </w:tcPr>
          <w:p w14:paraId="64CB3CB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2"/>
                <w:sz w:val="32"/>
                <w:szCs w:val="32"/>
                <w:u w:val="none"/>
                <w:lang w:val="en-US" w:eastAsia="zh-CN" w:bidi="ar-SA"/>
              </w:rPr>
              <w:t>3</w:t>
            </w:r>
          </w:p>
        </w:tc>
        <w:tc>
          <w:tcPr>
            <w:tcW w:w="6481" w:type="dxa"/>
            <w:tcBorders>
              <w:top w:val="single" w:color="000000" w:sz="4" w:space="0"/>
              <w:left w:val="single" w:color="000000" w:sz="4" w:space="0"/>
              <w:bottom w:val="single" w:color="000000" w:sz="4" w:space="0"/>
              <w:right w:val="single" w:color="000000" w:sz="4" w:space="0"/>
            </w:tcBorders>
            <w:vAlign w:val="center"/>
          </w:tcPr>
          <w:p w14:paraId="250EF21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控制系统（含心电模块、血氧模块、血压模块）</w:t>
            </w:r>
          </w:p>
        </w:tc>
        <w:tc>
          <w:tcPr>
            <w:tcW w:w="1013" w:type="dxa"/>
            <w:tcBorders>
              <w:top w:val="single" w:color="000000" w:sz="4" w:space="0"/>
              <w:left w:val="single" w:color="000000" w:sz="4" w:space="0"/>
              <w:bottom w:val="single" w:color="000000" w:sz="4" w:space="0"/>
              <w:right w:val="single" w:color="000000" w:sz="4" w:space="0"/>
            </w:tcBorders>
            <w:vAlign w:val="center"/>
          </w:tcPr>
          <w:p w14:paraId="79C0527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1套</w:t>
            </w:r>
          </w:p>
        </w:tc>
      </w:tr>
      <w:tr w14:paraId="513D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28" w:type="dxa"/>
            <w:tcBorders>
              <w:top w:val="single" w:color="000000" w:sz="4" w:space="0"/>
              <w:left w:val="single" w:color="000000" w:sz="4" w:space="0"/>
              <w:bottom w:val="single" w:color="000000" w:sz="4" w:space="0"/>
              <w:right w:val="single" w:color="000000" w:sz="4" w:space="0"/>
            </w:tcBorders>
            <w:vAlign w:val="center"/>
          </w:tcPr>
          <w:p w14:paraId="025AF3D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4</w:t>
            </w:r>
          </w:p>
        </w:tc>
        <w:tc>
          <w:tcPr>
            <w:tcW w:w="6481" w:type="dxa"/>
            <w:tcBorders>
              <w:top w:val="single" w:color="000000" w:sz="4" w:space="0"/>
              <w:left w:val="single" w:color="000000" w:sz="4" w:space="0"/>
              <w:bottom w:val="single" w:color="000000" w:sz="4" w:space="0"/>
              <w:right w:val="single" w:color="000000" w:sz="4" w:space="0"/>
            </w:tcBorders>
            <w:vAlign w:val="center"/>
          </w:tcPr>
          <w:p w14:paraId="2889B06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心电导联线</w:t>
            </w:r>
          </w:p>
        </w:tc>
        <w:tc>
          <w:tcPr>
            <w:tcW w:w="1013" w:type="dxa"/>
            <w:tcBorders>
              <w:top w:val="single" w:color="000000" w:sz="4" w:space="0"/>
              <w:left w:val="single" w:color="000000" w:sz="4" w:space="0"/>
              <w:bottom w:val="single" w:color="000000" w:sz="4" w:space="0"/>
              <w:right w:val="single" w:color="000000" w:sz="4" w:space="0"/>
            </w:tcBorders>
            <w:vAlign w:val="center"/>
          </w:tcPr>
          <w:p w14:paraId="13F34B2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1条</w:t>
            </w:r>
          </w:p>
        </w:tc>
      </w:tr>
      <w:tr w14:paraId="426B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28" w:type="dxa"/>
            <w:tcBorders>
              <w:top w:val="single" w:color="000000" w:sz="4" w:space="0"/>
              <w:left w:val="single" w:color="000000" w:sz="4" w:space="0"/>
              <w:bottom w:val="single" w:color="000000" w:sz="4" w:space="0"/>
              <w:right w:val="single" w:color="000000" w:sz="4" w:space="0"/>
            </w:tcBorders>
            <w:vAlign w:val="center"/>
          </w:tcPr>
          <w:p w14:paraId="58D4BF1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5</w:t>
            </w:r>
          </w:p>
        </w:tc>
        <w:tc>
          <w:tcPr>
            <w:tcW w:w="6481" w:type="dxa"/>
            <w:tcBorders>
              <w:top w:val="single" w:color="000000" w:sz="4" w:space="0"/>
              <w:left w:val="single" w:color="000000" w:sz="4" w:space="0"/>
              <w:bottom w:val="single" w:color="000000" w:sz="4" w:space="0"/>
              <w:right w:val="single" w:color="000000" w:sz="4" w:space="0"/>
            </w:tcBorders>
            <w:vAlign w:val="center"/>
          </w:tcPr>
          <w:p w14:paraId="46EBCD4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血氧探头</w:t>
            </w:r>
          </w:p>
        </w:tc>
        <w:tc>
          <w:tcPr>
            <w:tcW w:w="1013" w:type="dxa"/>
            <w:tcBorders>
              <w:top w:val="single" w:color="000000" w:sz="4" w:space="0"/>
              <w:left w:val="single" w:color="000000" w:sz="4" w:space="0"/>
              <w:bottom w:val="single" w:color="000000" w:sz="4" w:space="0"/>
              <w:right w:val="single" w:color="000000" w:sz="4" w:space="0"/>
            </w:tcBorders>
            <w:vAlign w:val="center"/>
          </w:tcPr>
          <w:p w14:paraId="77B8EE4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1条</w:t>
            </w:r>
          </w:p>
        </w:tc>
      </w:tr>
      <w:tr w14:paraId="28A5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28" w:type="dxa"/>
            <w:tcBorders>
              <w:top w:val="single" w:color="000000" w:sz="4" w:space="0"/>
              <w:left w:val="single" w:color="000000" w:sz="4" w:space="0"/>
              <w:bottom w:val="single" w:color="000000" w:sz="4" w:space="0"/>
              <w:right w:val="single" w:color="000000" w:sz="4" w:space="0"/>
            </w:tcBorders>
            <w:vAlign w:val="center"/>
          </w:tcPr>
          <w:p w14:paraId="0E60E26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6</w:t>
            </w:r>
          </w:p>
        </w:tc>
        <w:tc>
          <w:tcPr>
            <w:tcW w:w="6481" w:type="dxa"/>
            <w:tcBorders>
              <w:top w:val="single" w:color="000000" w:sz="4" w:space="0"/>
              <w:left w:val="single" w:color="000000" w:sz="4" w:space="0"/>
              <w:bottom w:val="single" w:color="000000" w:sz="4" w:space="0"/>
              <w:right w:val="single" w:color="000000" w:sz="4" w:space="0"/>
            </w:tcBorders>
            <w:vAlign w:val="center"/>
          </w:tcPr>
          <w:p w14:paraId="73751C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血压袖套、血压连接管</w:t>
            </w:r>
          </w:p>
        </w:tc>
        <w:tc>
          <w:tcPr>
            <w:tcW w:w="1013" w:type="dxa"/>
            <w:tcBorders>
              <w:top w:val="single" w:color="000000" w:sz="4" w:space="0"/>
              <w:left w:val="single" w:color="000000" w:sz="4" w:space="0"/>
              <w:bottom w:val="single" w:color="000000" w:sz="4" w:space="0"/>
              <w:right w:val="single" w:color="000000" w:sz="4" w:space="0"/>
            </w:tcBorders>
            <w:vAlign w:val="center"/>
          </w:tcPr>
          <w:p w14:paraId="4CC594F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2套</w:t>
            </w:r>
          </w:p>
        </w:tc>
      </w:tr>
      <w:tr w14:paraId="4CC2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28" w:type="dxa"/>
            <w:tcBorders>
              <w:top w:val="single" w:color="000000" w:sz="4" w:space="0"/>
              <w:left w:val="single" w:color="000000" w:sz="4" w:space="0"/>
              <w:bottom w:val="single" w:color="000000" w:sz="4" w:space="0"/>
              <w:right w:val="single" w:color="000000" w:sz="4" w:space="0"/>
            </w:tcBorders>
            <w:vAlign w:val="center"/>
          </w:tcPr>
          <w:p w14:paraId="3A5F6AE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7</w:t>
            </w:r>
          </w:p>
        </w:tc>
        <w:tc>
          <w:tcPr>
            <w:tcW w:w="6481" w:type="dxa"/>
            <w:tcBorders>
              <w:top w:val="single" w:color="000000" w:sz="4" w:space="0"/>
              <w:left w:val="single" w:color="000000" w:sz="4" w:space="0"/>
              <w:bottom w:val="single" w:color="000000" w:sz="4" w:space="0"/>
              <w:right w:val="single" w:color="000000" w:sz="4" w:space="0"/>
            </w:tcBorders>
            <w:vAlign w:val="center"/>
          </w:tcPr>
          <w:p w14:paraId="0F24218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外囊</w:t>
            </w:r>
          </w:p>
        </w:tc>
        <w:tc>
          <w:tcPr>
            <w:tcW w:w="1013" w:type="dxa"/>
            <w:tcBorders>
              <w:top w:val="single" w:color="000000" w:sz="4" w:space="0"/>
              <w:left w:val="single" w:color="000000" w:sz="4" w:space="0"/>
              <w:bottom w:val="single" w:color="000000" w:sz="4" w:space="0"/>
              <w:right w:val="single" w:color="000000" w:sz="4" w:space="0"/>
            </w:tcBorders>
            <w:vAlign w:val="center"/>
          </w:tcPr>
          <w:p w14:paraId="0E52A16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2套</w:t>
            </w:r>
          </w:p>
        </w:tc>
      </w:tr>
      <w:tr w14:paraId="33E0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28" w:type="dxa"/>
            <w:tcBorders>
              <w:top w:val="single" w:color="000000" w:sz="4" w:space="0"/>
              <w:left w:val="single" w:color="000000" w:sz="4" w:space="0"/>
              <w:bottom w:val="single" w:color="000000" w:sz="4" w:space="0"/>
              <w:right w:val="single" w:color="000000" w:sz="4" w:space="0"/>
            </w:tcBorders>
            <w:vAlign w:val="center"/>
          </w:tcPr>
          <w:p w14:paraId="3C882CE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w:t>
            </w:r>
          </w:p>
        </w:tc>
        <w:tc>
          <w:tcPr>
            <w:tcW w:w="6481" w:type="dxa"/>
            <w:tcBorders>
              <w:top w:val="single" w:color="000000" w:sz="4" w:space="0"/>
              <w:left w:val="single" w:color="000000" w:sz="4" w:space="0"/>
              <w:bottom w:val="single" w:color="000000" w:sz="4" w:space="0"/>
              <w:right w:val="single" w:color="000000" w:sz="4" w:space="0"/>
            </w:tcBorders>
            <w:vAlign w:val="center"/>
          </w:tcPr>
          <w:p w14:paraId="76E5BD5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内囊</w:t>
            </w:r>
          </w:p>
        </w:tc>
        <w:tc>
          <w:tcPr>
            <w:tcW w:w="1013" w:type="dxa"/>
            <w:tcBorders>
              <w:top w:val="single" w:color="000000" w:sz="4" w:space="0"/>
              <w:left w:val="single" w:color="000000" w:sz="4" w:space="0"/>
              <w:bottom w:val="single" w:color="000000" w:sz="4" w:space="0"/>
              <w:right w:val="single" w:color="000000" w:sz="4" w:space="0"/>
            </w:tcBorders>
            <w:vAlign w:val="center"/>
          </w:tcPr>
          <w:p w14:paraId="4B76034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2套</w:t>
            </w:r>
          </w:p>
        </w:tc>
      </w:tr>
    </w:tbl>
    <w:p w14:paraId="45FB59BE">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highlight w:val="none"/>
          <w:lang w:val="en-US" w:eastAsia="zh-CN"/>
        </w:rPr>
      </w:pPr>
    </w:p>
    <w:p w14:paraId="3F6CBF39">
      <w:pPr>
        <w:pStyle w:val="9"/>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54DF0FAB">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br w:type="page"/>
      </w:r>
    </w:p>
    <w:p w14:paraId="7A0F46C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广东省第一荣军</w:t>
      </w:r>
      <w:r>
        <w:rPr>
          <w:rFonts w:hint="default" w:ascii="Times New Roman" w:hAnsi="Times New Roman" w:eastAsia="方正小标宋简体" w:cs="Times New Roman"/>
          <w:sz w:val="32"/>
          <w:szCs w:val="32"/>
          <w:highlight w:val="none"/>
          <w:lang w:eastAsia="zh-CN"/>
        </w:rPr>
        <w:t>优抚</w:t>
      </w:r>
      <w:r>
        <w:rPr>
          <w:rFonts w:hint="default" w:ascii="Times New Roman" w:hAnsi="Times New Roman" w:eastAsia="方正小标宋简体" w:cs="Times New Roman"/>
          <w:sz w:val="32"/>
          <w:szCs w:val="32"/>
          <w:highlight w:val="none"/>
        </w:rPr>
        <w:t>医院廉洁承诺书</w:t>
      </w:r>
    </w:p>
    <w:p w14:paraId="36DE98F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062F283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甲方：广东省第一荣军</w:t>
      </w:r>
      <w:r>
        <w:rPr>
          <w:rFonts w:hint="default" w:ascii="Times New Roman" w:hAnsi="Times New Roman" w:cs="Times New Roman" w:eastAsiaTheme="minorEastAsia"/>
          <w:szCs w:val="21"/>
          <w:highlight w:val="none"/>
          <w:lang w:eastAsia="zh-CN"/>
        </w:rPr>
        <w:t>优抚</w:t>
      </w:r>
      <w:r>
        <w:rPr>
          <w:rFonts w:hint="default" w:ascii="Times New Roman" w:hAnsi="Times New Roman" w:cs="Times New Roman" w:eastAsiaTheme="minorEastAsia"/>
          <w:szCs w:val="21"/>
          <w:highlight w:val="none"/>
        </w:rPr>
        <w:t>医院</w:t>
      </w:r>
    </w:p>
    <w:p w14:paraId="039C6C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乙方：</w:t>
      </w:r>
      <w:r>
        <w:rPr>
          <w:rFonts w:hint="default" w:ascii="Times New Roman" w:hAnsi="Times New Roman" w:cs="Times New Roman" w:eastAsiaTheme="minorEastAsia"/>
          <w:szCs w:val="21"/>
          <w:highlight w:val="none"/>
          <w:lang w:val="en-US" w:eastAsia="zh-CN"/>
        </w:rPr>
        <w:t>XX</w:t>
      </w:r>
      <w:r>
        <w:rPr>
          <w:rFonts w:hint="default" w:ascii="Times New Roman" w:hAnsi="Times New Roman" w:cs="Times New Roman" w:eastAsiaTheme="minorEastAsia"/>
          <w:szCs w:val="21"/>
          <w:highlight w:val="none"/>
        </w:rPr>
        <w:t>公司</w:t>
      </w:r>
    </w:p>
    <w:p w14:paraId="04E2340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795603BA">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w:t>
      </w:r>
    </w:p>
    <w:p w14:paraId="38775D14">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一、本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所指采购工作是指以总务科牵头组织的物资采购、基建工程（含工程预算编制、工程招投标、工程监理、工程审核等）、设备维修（维保）、车辆维修保养等。</w:t>
      </w:r>
    </w:p>
    <w:p w14:paraId="6D166DB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二、甲、乙双方严格遵守党纪国法和各项政策规定，将廉政建设和从业规定的各项要求贯彻始终，廉洁自律、加强监督，确保将物资采购、基建工程项目等建设成为廉洁工程。</w:t>
      </w:r>
    </w:p>
    <w:p w14:paraId="256304E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三、甲方工作人员不得参加涉及可能影响公正公平的宴请和商务活动。</w:t>
      </w:r>
    </w:p>
    <w:p w14:paraId="610CB8F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四、甲方工作人员不得索要或收受乙方及其工作人员的红包、有价证券、贵重礼品等，不得索要或收受各种名义的回扣、手续费等好处费。</w:t>
      </w:r>
    </w:p>
    <w:p w14:paraId="1DCA451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五、乙方及其工作人员不得以任何形式向甲方工作人员（含家属或亲友）行贿，乙方不得以各种借口邀请甲方工作人员参加可能影响今后工作的宴请、外出游玩和各种娱乐活动。</w:t>
      </w:r>
    </w:p>
    <w:p w14:paraId="69C78E0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六、经查实无论是因甲方原因，或者乙方原因违反本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的，甲方有权终止购销合同，乙方因甲方解除合同产生的损失由乙方自行承担，甲方因此遭受损失由乙方赔偿，并向有关政府部门报告及视情况按相关情况处理。</w:t>
      </w:r>
    </w:p>
    <w:p w14:paraId="3BCFDFF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七、本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作为物资采购、基建工程项目采购合同的重要组成部分，与正式签订的物资采购、基建工程项目实施合同一并执行且具有同等法律效力。</w:t>
      </w:r>
    </w:p>
    <w:p w14:paraId="3CB791A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八、本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一式</w:t>
      </w:r>
      <w:r>
        <w:rPr>
          <w:rFonts w:hint="default" w:ascii="Times New Roman" w:hAnsi="Times New Roman" w:cs="Times New Roman" w:eastAsiaTheme="minorEastAsia"/>
          <w:szCs w:val="21"/>
          <w:highlight w:val="none"/>
          <w:lang w:val="en-US" w:eastAsia="zh-CN"/>
        </w:rPr>
        <w:t>6</w:t>
      </w:r>
      <w:r>
        <w:rPr>
          <w:rFonts w:hint="default" w:ascii="Times New Roman" w:hAnsi="Times New Roman" w:cs="Times New Roman" w:eastAsiaTheme="minorEastAsia"/>
          <w:szCs w:val="21"/>
          <w:highlight w:val="none"/>
        </w:rPr>
        <w:t>份，甲方执</w:t>
      </w:r>
      <w:r>
        <w:rPr>
          <w:rFonts w:hint="default" w:ascii="Times New Roman" w:hAnsi="Times New Roman" w:cs="Times New Roman" w:eastAsiaTheme="minorEastAsia"/>
          <w:szCs w:val="21"/>
          <w:highlight w:val="none"/>
          <w:lang w:val="en-US" w:eastAsia="zh-CN"/>
        </w:rPr>
        <w:t>5</w:t>
      </w:r>
      <w:r>
        <w:rPr>
          <w:rFonts w:hint="default" w:ascii="Times New Roman" w:hAnsi="Times New Roman" w:cs="Times New Roman" w:eastAsiaTheme="minorEastAsia"/>
          <w:szCs w:val="21"/>
          <w:highlight w:val="none"/>
        </w:rPr>
        <w:t>份，</w:t>
      </w:r>
      <w:r>
        <w:rPr>
          <w:rFonts w:hint="default" w:ascii="Times New Roman" w:hAnsi="Times New Roman" w:cs="Times New Roman" w:eastAsiaTheme="minorEastAsia"/>
          <w:szCs w:val="21"/>
          <w:highlight w:val="none"/>
          <w:lang w:val="en-US" w:eastAsia="zh-CN"/>
        </w:rPr>
        <w:t>乙方执1</w:t>
      </w:r>
      <w:r>
        <w:rPr>
          <w:rFonts w:hint="default" w:ascii="Times New Roman" w:hAnsi="Times New Roman" w:cs="Times New Roman" w:eastAsiaTheme="minorEastAsia"/>
          <w:szCs w:val="21"/>
          <w:highlight w:val="none"/>
        </w:rPr>
        <w:t>份。</w:t>
      </w:r>
    </w:p>
    <w:p w14:paraId="438DBF25">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九、本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自签订之日起生效。</w:t>
      </w:r>
    </w:p>
    <w:p w14:paraId="3D23D7C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p>
    <w:p w14:paraId="22BF65C7">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甲方（盖章）：                         乙方（盖章）：</w:t>
      </w:r>
    </w:p>
    <w:p w14:paraId="692F4FF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p>
    <w:p w14:paraId="1D2690C6">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负责人：</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负责人：</w:t>
      </w:r>
    </w:p>
    <w:p w14:paraId="39F62A91">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w:t>
      </w:r>
    </w:p>
    <w:p w14:paraId="371D8302">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经办人：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经办人：</w:t>
      </w:r>
    </w:p>
    <w:p w14:paraId="013557E8">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highlight w:val="none"/>
        </w:rPr>
      </w:pPr>
      <w:r>
        <w:rPr>
          <w:rFonts w:hint="default" w:ascii="Times New Roman" w:hAnsi="Times New Roman" w:cs="Times New Roman" w:eastAsiaTheme="minorEastAsia"/>
          <w:szCs w:val="21"/>
          <w:highlight w:val="none"/>
        </w:rPr>
        <w:t xml:space="preserve">  年   月   日                         年   月   日</w:t>
      </w:r>
    </w:p>
    <w:p w14:paraId="013768A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E0FF3"/>
    <w:rsid w:val="1C0E0FF3"/>
    <w:rsid w:val="23CD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 w:type="paragraph" w:customStyle="1" w:styleId="9">
    <w:name w:val="null3"/>
    <w:hidden/>
    <w:qFormat/>
    <w:uiPriority w:val="0"/>
    <w:rPr>
      <w:rFonts w:hint="eastAsia" w:asciiTheme="minorHAnsi" w:hAnsiTheme="minorHAnsi" w:eastAsiaTheme="minorEastAsia" w:cstheme="minorBidi"/>
      <w:lang w:val="en-US" w:eastAsia="zh-Hans"/>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2026-07-24T02:00:00Z</dcterms:created>
  <dc:creator>卑微小虎崽</dc:creator>
  <cp:lastModifiedBy>卑微小虎崽</cp:lastModifiedBy>
  <dcterms:modified xsi:type="dcterms:W3CDTF">2026-07-24T02:01:20Z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D001E260304A40DA9CEC738B08CDDAA5_13</vt:lpwstr>
  </property>
  <property fmtid="{D5CDD505-2E9C-101B-9397-08002B2CF9AE}" pid="4" name="KSOTemplateDocerSaveRecord">
    <vt:lpwstr>eyJoZGlkIjoiNjNkZDNiNmE1ZWQxMmM5NjA4NDE0OWFmMTIyOTlmMDQiLCJ1c2VySWQiOiIxMzQ0MTYwMDk1In0=</vt:lpwstr>
  </property>
</Properties>
</file>